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1</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4"/>
          <w:szCs w:val="34"/>
          <w:bdr w:val="single" w:color="auto" w:sz="2" w:space="0"/>
          <w:shd w:val="clear" w:fill="FFFFFF"/>
        </w:rPr>
        <w:t>自治区政协办公厅</w:t>
      </w:r>
      <w:r>
        <w:rPr>
          <w:rFonts w:hint="eastAsia" w:ascii="宋体" w:hAnsi="宋体" w:eastAsia="宋体" w:cs="宋体"/>
          <w:i w:val="0"/>
          <w:iCs w:val="0"/>
          <w:caps w:val="0"/>
          <w:color w:val="000000"/>
          <w:spacing w:val="0"/>
          <w:sz w:val="34"/>
          <w:szCs w:val="34"/>
          <w:bdr w:val="single" w:color="auto" w:sz="2" w:space="0"/>
          <w:shd w:val="clear" w:fill="FFFFFF"/>
        </w:rPr>
        <w:t>2022</w:t>
      </w: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年度考试录用公务员面试入围人员名单</w:t>
      </w:r>
      <w:r>
        <w:rPr>
          <w:rFonts w:hint="default" w:ascii="Times New Roman" w:hAnsi="Times New Roman" w:cs="Times New Roman"/>
          <w:i w:val="0"/>
          <w:iCs w:val="0"/>
          <w:caps w:val="0"/>
          <w:color w:val="000000"/>
          <w:spacing w:val="0"/>
          <w:sz w:val="34"/>
          <w:szCs w:val="34"/>
          <w:bdr w:val="single" w:color="auto" w:sz="2" w:space="0"/>
          <w:shd w:val="clear" w:fill="FFFFFF"/>
        </w:rPr>
        <w:t>(</w:t>
      </w:r>
      <w:r>
        <w:rPr>
          <w:rFonts w:ascii="方正小标宋_GBK" w:hAnsi="方正小标宋_GBK" w:eastAsia="方正小标宋_GBK" w:cs="方正小标宋_GBK"/>
          <w:i w:val="0"/>
          <w:iCs w:val="0"/>
          <w:caps w:val="0"/>
          <w:color w:val="000000"/>
          <w:spacing w:val="0"/>
          <w:sz w:val="34"/>
          <w:szCs w:val="34"/>
          <w:bdr w:val="single" w:color="auto" w:sz="2" w:space="0"/>
          <w:shd w:val="clear" w:fill="FFFFFF"/>
        </w:rPr>
        <w:t>按姓氏笔画为序</w:t>
      </w:r>
      <w:r>
        <w:rPr>
          <w:rFonts w:hint="default" w:ascii="Times New Roman" w:hAnsi="Times New Roman" w:cs="Times New Roman"/>
          <w:i w:val="0"/>
          <w:iCs w:val="0"/>
          <w:caps w:val="0"/>
          <w:color w:val="000000"/>
          <w:spacing w:val="0"/>
          <w:sz w:val="34"/>
          <w:szCs w:val="34"/>
          <w:bdr w:val="single" w:color="auto" w:sz="2" w:space="0"/>
          <w:shd w:val="clear" w:fill="FFFFFF"/>
        </w:rPr>
        <w:t>)</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tbl>
      <w:tblPr>
        <w:tblW w:w="10963"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38"/>
        <w:gridCol w:w="1095"/>
        <w:gridCol w:w="556"/>
        <w:gridCol w:w="682"/>
        <w:gridCol w:w="1812"/>
        <w:gridCol w:w="1184"/>
        <w:gridCol w:w="1184"/>
        <w:gridCol w:w="969"/>
        <w:gridCol w:w="1579"/>
        <w:gridCol w:w="1364"/>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360"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Arial" w:eastAsia="仿宋_GB2312" w:cs="仿宋_GB2312"/>
                <w:caps w:val="0"/>
                <w:spacing w:val="0"/>
                <w:sz w:val="19"/>
                <w:szCs w:val="19"/>
                <w:bdr w:val="none" w:color="auto" w:sz="0" w:space="0"/>
              </w:rPr>
              <w:t>序号</w:t>
            </w:r>
          </w:p>
        </w:tc>
        <w:tc>
          <w:tcPr>
            <w:tcW w:w="73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名</w:t>
            </w:r>
          </w:p>
        </w:tc>
        <w:tc>
          <w:tcPr>
            <w:tcW w:w="37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性别</w:t>
            </w:r>
          </w:p>
        </w:tc>
        <w:tc>
          <w:tcPr>
            <w:tcW w:w="456"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民族</w:t>
            </w:r>
          </w:p>
        </w:tc>
        <w:tc>
          <w:tcPr>
            <w:tcW w:w="121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号码</w:t>
            </w:r>
          </w:p>
        </w:tc>
        <w:tc>
          <w:tcPr>
            <w:tcW w:w="792" w:type="dxa"/>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机关</w:t>
            </w:r>
          </w:p>
        </w:tc>
        <w:tc>
          <w:tcPr>
            <w:tcW w:w="792" w:type="dxa"/>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单位</w:t>
            </w:r>
          </w:p>
        </w:tc>
        <w:tc>
          <w:tcPr>
            <w:tcW w:w="648" w:type="dxa"/>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代码</w:t>
            </w:r>
          </w:p>
        </w:tc>
        <w:tc>
          <w:tcPr>
            <w:tcW w:w="1056" w:type="dxa"/>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tc>
        <w:tc>
          <w:tcPr>
            <w:tcW w:w="912" w:type="dxa"/>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面试最低分数（含照顾加分）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1</w:t>
            </w:r>
          </w:p>
        </w:tc>
        <w:tc>
          <w:tcPr>
            <w:tcW w:w="73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孙逸凡</w:t>
            </w:r>
          </w:p>
        </w:tc>
        <w:tc>
          <w:tcPr>
            <w:tcW w:w="37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11150300902</w:t>
            </w:r>
          </w:p>
        </w:tc>
        <w:tc>
          <w:tcPr>
            <w:tcW w:w="792" w:type="dxa"/>
            <w:vMerge w:val="restart"/>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自治区政协办公厅</w:t>
            </w:r>
          </w:p>
        </w:tc>
        <w:tc>
          <w:tcPr>
            <w:tcW w:w="792" w:type="dxa"/>
            <w:vMerge w:val="restart"/>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自治区政协办公厅</w:t>
            </w:r>
          </w:p>
        </w:tc>
        <w:tc>
          <w:tcPr>
            <w:tcW w:w="648" w:type="dxa"/>
            <w:vMerge w:val="restart"/>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职位</w:t>
            </w:r>
          </w:p>
        </w:tc>
        <w:tc>
          <w:tcPr>
            <w:tcW w:w="1056" w:type="dxa"/>
            <w:vMerge w:val="restart"/>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4515220002</w:t>
            </w:r>
          </w:p>
        </w:tc>
        <w:tc>
          <w:tcPr>
            <w:tcW w:w="912" w:type="dxa"/>
            <w:vMerge w:val="restart"/>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124.1</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2</w:t>
            </w:r>
          </w:p>
        </w:tc>
        <w:tc>
          <w:tcPr>
            <w:tcW w:w="73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庞雪松</w:t>
            </w:r>
          </w:p>
        </w:tc>
        <w:tc>
          <w:tcPr>
            <w:tcW w:w="37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11150301208</w:t>
            </w:r>
          </w:p>
        </w:tc>
        <w:tc>
          <w:tcPr>
            <w:tcW w:w="79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c>
          <w:tcPr>
            <w:tcW w:w="79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c>
          <w:tcPr>
            <w:tcW w:w="648" w:type="dxa"/>
            <w:vMerge w:val="continue"/>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rPr>
                <w:rFonts w:hint="default" w:ascii="Arial" w:hAnsi="Arial" w:cs="Arial"/>
                <w:caps w:val="0"/>
                <w:spacing w:val="0"/>
                <w:sz w:val="24"/>
                <w:szCs w:val="24"/>
              </w:rPr>
            </w:pPr>
          </w:p>
        </w:tc>
        <w:tc>
          <w:tcPr>
            <w:tcW w:w="1056" w:type="dxa"/>
            <w:vMerge w:val="continue"/>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6"/>
                <w:szCs w:val="16"/>
                <w:bdr w:val="none" w:color="auto" w:sz="0" w:space="0"/>
              </w:rPr>
              <w:t>3</w:t>
            </w:r>
          </w:p>
        </w:tc>
        <w:tc>
          <w:tcPr>
            <w:tcW w:w="73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蓝梦丹</w:t>
            </w:r>
          </w:p>
        </w:tc>
        <w:tc>
          <w:tcPr>
            <w:tcW w:w="372"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ECECEC"/>
            <w:noWrap/>
            <w:tcMar>
              <w:top w:w="36" w:type="dxa"/>
              <w:left w:w="84" w:type="dxa"/>
              <w:bottom w:w="36"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default" w:ascii="仿宋_GB2312" w:hAnsi="Arial" w:eastAsia="仿宋_GB2312" w:cs="仿宋_GB2312"/>
                <w:caps w:val="0"/>
                <w:spacing w:val="0"/>
                <w:sz w:val="16"/>
                <w:szCs w:val="16"/>
                <w:bdr w:val="none" w:color="auto" w:sz="0" w:space="0"/>
              </w:rPr>
              <w:t>11150300807</w:t>
            </w:r>
          </w:p>
        </w:tc>
        <w:tc>
          <w:tcPr>
            <w:tcW w:w="79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c>
          <w:tcPr>
            <w:tcW w:w="79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c>
          <w:tcPr>
            <w:tcW w:w="648" w:type="dxa"/>
            <w:vMerge w:val="continue"/>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rPr>
                <w:rFonts w:hint="default" w:ascii="Arial" w:hAnsi="Arial" w:cs="Arial"/>
                <w:caps w:val="0"/>
                <w:spacing w:val="0"/>
                <w:sz w:val="24"/>
                <w:szCs w:val="24"/>
              </w:rPr>
            </w:pPr>
          </w:p>
        </w:tc>
        <w:tc>
          <w:tcPr>
            <w:tcW w:w="1056" w:type="dxa"/>
            <w:vMerge w:val="continue"/>
            <w:tcBorders>
              <w:top w:val="single" w:color="auto" w:sz="4" w:space="0"/>
              <w:left w:val="nil"/>
              <w:bottom w:val="nil"/>
              <w:right w:val="single" w:color="auto" w:sz="4" w:space="0"/>
            </w:tcBorders>
            <w:shd w:val="clear" w:color="auto" w:fill="FFFFFF"/>
            <w:tcMar>
              <w:top w:w="36" w:type="dxa"/>
              <w:left w:w="84" w:type="dxa"/>
              <w:bottom w:w="36"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36" w:type="dxa"/>
              <w:left w:w="84" w:type="dxa"/>
              <w:bottom w:w="36" w:type="dxa"/>
              <w:right w:w="84" w:type="dxa"/>
            </w:tcMar>
            <w:vAlign w:val="center"/>
          </w:tcPr>
          <w:p>
            <w:pPr>
              <w:rPr>
                <w:rFonts w:hint="default" w:ascii="Arial" w:hAnsi="Arial" w:cs="Arial"/>
                <w:caps w:val="0"/>
                <w:spacing w:val="0"/>
                <w:sz w:val="24"/>
                <w:szCs w:val="24"/>
              </w:rPr>
            </w:pPr>
          </w:p>
        </w:tc>
      </w:tr>
    </w:tbl>
    <w:p/>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附件2</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center"/>
        <w:rPr>
          <w:rFonts w:hint="eastAsia" w:ascii="宋体" w:hAnsi="宋体"/>
          <w:color w:val="000000"/>
          <w:position w:val="6"/>
          <w:sz w:val="20"/>
          <w:szCs w:val="24"/>
          <w:lang w:val="zh-CN"/>
        </w:rPr>
      </w:pPr>
      <w:bookmarkStart w:id="0" w:name="_GoBack"/>
      <w:r>
        <w:rPr>
          <w:rFonts w:hint="eastAsia" w:ascii="宋体" w:hAnsi="宋体"/>
          <w:color w:val="000000"/>
          <w:position w:val="6"/>
          <w:sz w:val="20"/>
          <w:szCs w:val="24"/>
          <w:lang w:val="zh-CN"/>
        </w:rPr>
        <w:t>考生面试须知</w:t>
      </w:r>
    </w:p>
    <w:bookmarkEnd w:id="0"/>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一、考生应在规定的时间内到达指定地点参加面试，违者按有关规定处理。进入考点时，应主动出示居民身份证、纸质笔试准考证及面试公告要求出具的其他证件；同时符合考前48小时新冠病毒核酸检测结果为阴性、</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广西健康码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通信大数据行程卡</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为绿码、现场测量体温正常（＜37.3℃）等防疫要求，方可进入考场参加考试。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三、考生不得穿制服或穿戴有特别标志的服装参加面试。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四、考生要按规定时间进入候考室签到并抽签，按抽签确定的面试序号参加面试。抽签开始时仍未到达候考室的，剩余签号为该考生面试序号。</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考生须于面试当天上午8:00前进入候考室，未按时到达的考生不允许进入候考室，按自动放弃面试资格处理。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六、考生在候考过程中不得随意出入候考室，因特殊情况需出入候考室的，须有候考室工作人员专人陪同监督。</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七、考生在面试时不得携带任何与面试有关的物品和资料进入面试室；面试结束后，不得将题本和草稿纸带出面试室。如有违反，给予本次面试成绩无效处理。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八、考生在面试时，只能报自己的面试序号，不得以任何方式向考官或面试室内工作人员透露本人姓名、身份证号码、准考证号等个人重要信息。凡考生透露个人重要信息的，面试成绩按零分处理。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九、考生面试结束后，要听从工作人员管理，不得返回候考室，不得以任何方式对外泄露试题信息。</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097F1A8E"/>
    <w:rsid w:val="15997A33"/>
    <w:rsid w:val="1B012F59"/>
    <w:rsid w:val="3A8D3675"/>
    <w:rsid w:val="6B20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1123</Words>
  <Characters>1176</Characters>
  <Lines>0</Lines>
  <Paragraphs>0</Paragraphs>
  <TotalTime>24</TotalTime>
  <ScaleCrop>false</ScaleCrop>
  <LinksUpToDate>false</LinksUpToDate>
  <CharactersWithSpaces>1195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2022-07-27T08:08:43Z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