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附件二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北京市怀柔区人民法院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Style w:val="5"/>
          <w:rFonts w:hint="eastAsia" w:ascii="Calibri" w:hAnsi="Calibri" w:eastAsia="宋体" w:cs="Calibri"/>
          <w:sz w:val="36"/>
          <w:szCs w:val="36"/>
          <w:lang w:val="en-US" w:eastAsia="zh-CN"/>
        </w:rPr>
        <w:t>hrfygbk</w:t>
      </w:r>
      <w:r>
        <w:rPr>
          <w:rStyle w:val="5"/>
          <w:rFonts w:ascii="Calibri" w:hAnsi="Calibri" w:eastAsia="Malgun Gothic" w:cs="Calibri"/>
          <w:sz w:val="36"/>
          <w:szCs w:val="36"/>
        </w:rPr>
        <w:t>@</w:t>
      </w:r>
      <w:r>
        <w:rPr>
          <w:rStyle w:val="5"/>
          <w:rFonts w:hint="eastAsia" w:ascii="Calibri" w:hAnsi="Calibri" w:eastAsia="宋体" w:cs="Calibri"/>
          <w:sz w:val="36"/>
          <w:szCs w:val="36"/>
          <w:lang w:val="en-US" w:eastAsia="zh-CN"/>
        </w:rPr>
        <w:t>1</w:t>
      </w:r>
      <w:r>
        <w:rPr>
          <w:rStyle w:val="5"/>
          <w:rFonts w:ascii="Calibri" w:hAnsi="Calibri" w:eastAsia="Malgun Gothic" w:cs="Calibri"/>
          <w:sz w:val="36"/>
          <w:szCs w:val="36"/>
        </w:rPr>
        <w:fldChar w:fldCharType="end"/>
      </w:r>
      <w:r>
        <w:rPr>
          <w:rStyle w:val="5"/>
          <w:rFonts w:hint="eastAsia" w:ascii="Calibri" w:hAnsi="Calibri" w:eastAsia="宋体" w:cs="Calibri"/>
          <w:sz w:val="36"/>
          <w:szCs w:val="36"/>
          <w:lang w:val="en-US" w:eastAsia="zh-CN"/>
        </w:rPr>
        <w:t>63.com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春然手书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548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2022-02-11T03:11:10Z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