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18" w:tblpY="715"/>
        <w:tblOverlap w:val="never"/>
        <w:tblW w:w="558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172"/>
        <w:gridCol w:w="1473"/>
        <w:gridCol w:w="3830"/>
        <w:gridCol w:w="3343"/>
        <w:gridCol w:w="705"/>
        <w:gridCol w:w="974"/>
        <w:gridCol w:w="1200"/>
        <w:gridCol w:w="1275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568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44"/>
                <w:szCs w:val="44"/>
                <w:lang w:bidi="ar"/>
              </w:rPr>
              <w:t>2021年菏泽市经济开发区公开引进高层次急需紧缺人才岗位一览表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引进单位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引进岗位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引进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报名邮箱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菏泽市经济开发区管理委员会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园区管理服务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与我区主导产业（新能源新材料、高端装备制造、生物医药、新一代信息技术）相关的专业，包括能源动力类、材料类、机械类、生物工程类、药学类、电子信息类相关专业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有招商引资工作经验和文字功底者优先考虑，能适应长期出差、建设工地等工作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王琳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0530-5329616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instrText xml:space="preserve"> HYPERLINK "mailto:hzkfqrc@163.com" </w:instrTex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szCs w:val="21"/>
              </w:rPr>
              <w:t>hzkfqrc@163.com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bidi="ar"/>
              </w:rPr>
              <w:fldChar w:fldCharType="end"/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经济贸易与工商管理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经济与贸易类、工商管理类相关专业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具有较强的综合与分析能力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综合文秘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中文、传媒、新闻、写作等相关专业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有文字功底者优先考虑，能适应出差、夜间值班等工作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数据信息与网络工程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计算机类相关专业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城市建设与环境保护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资源环境与城乡规划管理、资源环境区划与管理、城市规划、市政工程、环境科学与工程类相关专业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FF"/>
                <w:szCs w:val="21"/>
                <w:u w:val="singl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  <w:sectPr>
          <w:pgSz w:w="16838" w:h="11906" w:orient="landscape"/>
          <w:pgMar w:top="1418" w:right="1701" w:bottom="1418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B5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2021-03-16T10:22:40Z</dcterms:created>
  <dc:creator>Administrator</dc:creator>
  <cp:lastModifiedBy>v.</cp:lastModifiedBy>
  <dcterms:modified xsi:type="dcterms:W3CDTF">2021-03-16T10:23:59Z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