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微软雅黑"/>
          <w:bCs/>
          <w:color w:val="000000" w:themeColor="text1"/>
          <w:sz w:val="32"/>
          <w:szCs w:val="32"/>
        </w:rPr>
      </w:pPr>
      <w:r>
        <w:rPr>
          <w:rFonts w:ascii="黑体" w:hAnsi="黑体" w:eastAsia="黑体" w:cs="微软雅黑"/>
          <w:bCs/>
          <w:color w:val="000000" w:themeColor="text1"/>
          <w:sz w:val="32"/>
          <w:szCs w:val="32"/>
        </w:rPr>
        <w:t>附件</w:t>
      </w:r>
      <w:r>
        <w:rPr>
          <w:rFonts w:hint="eastAsia" w:ascii="黑体" w:hAnsi="黑体" w:eastAsia="黑体" w:cs="微软雅黑"/>
          <w:bCs/>
          <w:color w:val="000000" w:themeColor="text1"/>
          <w:sz w:val="32"/>
          <w:szCs w:val="32"/>
        </w:rPr>
        <w:t>4</w:t>
      </w:r>
    </w:p>
    <w:p>
      <w:pPr>
        <w:spacing w:line="560" w:lineRule="exact"/>
        <w:rPr>
          <w:rFonts w:ascii="黑体" w:hAnsi="黑体" w:eastAsia="黑体" w:cs="微软雅黑"/>
          <w:bCs/>
          <w:color w:val="000000" w:themeColor="text1"/>
          <w:sz w:val="44"/>
          <w:szCs w:val="44"/>
          <w:highlight w:val="yellow"/>
        </w:rPr>
      </w:pPr>
    </w:p>
    <w:p>
      <w:pPr>
        <w:spacing w:line="560" w:lineRule="exact"/>
        <w:jc w:val="center"/>
        <w:rPr>
          <w:rFonts w:ascii="黑体" w:hAnsi="黑体" w:eastAsia="黑体" w:cs="微软雅黑"/>
          <w:bCs/>
          <w:color w:val="000000" w:themeColor="text1"/>
          <w:sz w:val="48"/>
          <w:szCs w:val="48"/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</w:rPr>
        <w:t>2021年新疆生产建设兵团第十师北屯市</w:t>
      </w: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</w:rPr>
        <w:t>事业单位公开招聘工作人员在线笔试</w:t>
      </w: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hAnsi="黑体" w:eastAsia="方正小标宋简体" w:cs="微软雅黑"/>
          <w:bCs/>
          <w:color w:val="000000" w:themeColor="text1"/>
          <w:sz w:val="44"/>
          <w:szCs w:val="44"/>
        </w:rPr>
      </w:pP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</w:rPr>
        <w:t>操作手册</w:t>
      </w:r>
      <w:r>
        <w:rPr>
          <w:rFonts w:hint="eastAsia" w:ascii="方正小标宋简体" w:hAnsi="黑体" w:eastAsia="方正小标宋简体" w:cs="微软雅黑"/>
          <w:bCs/>
          <w:color w:val="000000" w:themeColor="text1"/>
          <w:sz w:val="44"/>
          <w:szCs w:val="44"/>
        </w:rPr>
        <w:br w:type="page"/>
      </w:r>
    </w:p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</w:rPr>
      </w:pPr>
    </w:p>
    <w:sdt>
      <w:sdtPr>
        <w:rPr>
          <w:rFonts w:ascii="宋体" w:hAnsi="宋体" w:eastAsia="宋体" w:cs="宋体"/>
          <w:color w:val="auto"/>
          <w:sz w:val="24"/>
          <w:szCs w:val="24"/>
          <w:lang w:val="zh-CN" w:bidi="ar-SA"/>
        </w:rPr>
        <w:id w:val="578868521"/>
      </w:sdtPr>
      <w:sdtEndPr>
        <w:rPr>
          <w:rFonts w:ascii="宋体" w:hAnsi="宋体" w:eastAsia="宋体" w:cs="宋体"/>
          <w:b/>
          <w:bCs/>
          <w:color w:val="auto"/>
          <w:sz w:val="24"/>
          <w:szCs w:val="24"/>
          <w:lang w:val="zh-CN" w:bidi="ar-SA"/>
        </w:rPr>
      </w:sdtEndPr>
      <w:sdtContent>
        <w:p>
          <w:pPr>
            <w:pStyle w:val="31"/>
            <w:jc w:val="center"/>
            <w:rPr>
              <w:b/>
              <w:bCs/>
              <w:color w:val="auto"/>
            </w:rPr>
          </w:pPr>
          <w:r>
            <w:rPr>
              <w:b/>
              <w:bCs/>
              <w:color w:val="auto"/>
              <w:lang w:val="zh-CN"/>
            </w:rPr>
            <w:t>目  录</w:t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"_Toc45550328"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一、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考试设备与网络配置要求</w:t>
          </w:r>
          <w:r>
            <w:tab/>
          </w:r>
          <w:r>
            <w:fldChar w:fldCharType="begin"/>
          </w:r>
          <w:r>
            <w:instrText xml:space="preserve"> PAGEREF _Toc45550328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"_Toc45550329"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二、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考试操作流程介绍</w:t>
          </w:r>
          <w:r>
            <w:tab/>
          </w:r>
          <w:r>
            <w:fldChar w:fldCharType="begin"/>
          </w:r>
          <w:r>
            <w:instrText xml:space="preserve"> PAGEREF _Toc45550329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客户端安装</w:t>
          </w:r>
          <w:r>
            <w:tab/>
          </w:r>
          <w:r>
            <w:fldChar w:fldCharType="begin"/>
          </w:r>
          <w:r>
            <w:instrText xml:space="preserve"> PAGEREF _Toc45550330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调试摄像头</w:t>
          </w:r>
          <w:r>
            <w:tab/>
          </w:r>
          <w:r>
            <w:fldChar w:fldCharType="begin"/>
          </w:r>
          <w:r>
            <w:instrText xml:space="preserve"> PAGEREF _Toc45550331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客户端登录</w:t>
          </w:r>
          <w:r>
            <w:tab/>
          </w:r>
          <w:r>
            <w:fldChar w:fldCharType="begin"/>
          </w:r>
          <w:r>
            <w:instrText xml:space="preserve"> PAGEREF _Toc45550332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"_Toc45550333"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信息确认及拍照</w:t>
          </w:r>
          <w:r>
            <w:tab/>
          </w:r>
          <w:r>
            <w:fldChar w:fldCharType="begin"/>
          </w:r>
          <w:r>
            <w:instrText xml:space="preserve"> PAGEREF _Toc45550333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"_Toc45550334"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答题及交卷</w:t>
          </w:r>
          <w:r>
            <w:tab/>
          </w:r>
          <w:r>
            <w:fldChar w:fldCharType="begin"/>
          </w:r>
          <w:r>
            <w:instrText xml:space="preserve"> PAGEREF _Toc45550334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84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"_Toc45550335"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三、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AI云监考APP操作流程介绍</w:t>
          </w:r>
          <w:r>
            <w:tab/>
          </w:r>
          <w:r>
            <w:fldChar w:fldCharType="begin"/>
          </w:r>
          <w:r>
            <w:instrText xml:space="preserve"> PAGEREF _Toc45550335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"_Toc45550336"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1.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操作流程图</w:t>
          </w:r>
          <w:r>
            <w:tab/>
          </w:r>
          <w:r>
            <w:fldChar w:fldCharType="begin"/>
          </w:r>
          <w:r>
            <w:instrText xml:space="preserve"> PAGEREF _Toc45550336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"_Toc45550337"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2.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IOS APP下载安装与登录</w:t>
          </w:r>
          <w:r>
            <w:tab/>
          </w:r>
          <w:r>
            <w:fldChar w:fldCharType="begin"/>
          </w:r>
          <w:r>
            <w:instrText xml:space="preserve"> PAGEREF _Toc45550337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"_Toc45550338"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3.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Android APP下载安装与登录</w:t>
          </w:r>
          <w:r>
            <w:tab/>
          </w:r>
          <w:r>
            <w:fldChar w:fldCharType="begin"/>
          </w:r>
          <w:r>
            <w:instrText xml:space="preserve"> PAGEREF _Toc45550338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"_Toc45550339"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4.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将手机固定在合适位置</w:t>
          </w:r>
          <w:r>
            <w:tab/>
          </w:r>
          <w:r>
            <w:fldChar w:fldCharType="begin"/>
          </w:r>
          <w:r>
            <w:instrText xml:space="preserve"> PAGEREF _Toc45550339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"_Toc45550340"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5.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APP端操作-验证后登录</w:t>
          </w:r>
          <w:r>
            <w:tab/>
          </w:r>
          <w:r>
            <w:fldChar w:fldCharType="begin"/>
          </w:r>
          <w:r>
            <w:instrText xml:space="preserve"> PAGEREF _Toc45550340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"_Toc45550341"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6.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APP端操作-结束考试</w:t>
          </w:r>
          <w:r>
            <w:tab/>
          </w:r>
          <w:r>
            <w:fldChar w:fldCharType="begin"/>
          </w:r>
          <w:r>
            <w:instrText xml:space="preserve"> PAGEREF _Toc45550341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kern w:val="2"/>
              <w:sz w:val="21"/>
              <w:szCs w:val="24"/>
              <w:lang w:bidi="ar-SA"/>
            </w:rPr>
          </w:pPr>
          <w:r>
            <w:fldChar w:fldCharType="begin"/>
          </w:r>
          <w:r>
            <w:instrText xml:space="preserve"> HYPERLINK \l "_Toc45550342" </w:instrText>
          </w:r>
          <w:r>
            <w:fldChar w:fldCharType="separate"/>
          </w:r>
          <w:r>
            <w:rPr>
              <w:rStyle w:val="19"/>
              <w:rFonts w:cs="微软雅黑" w:asciiTheme="minorEastAsia" w:hAnsiTheme="minorEastAsia"/>
            </w:rPr>
            <w:t>7.</w:t>
          </w:r>
          <w:r>
            <w:rPr>
              <w:rFonts w:cstheme="minorBidi"/>
              <w:kern w:val="2"/>
              <w:sz w:val="21"/>
              <w:szCs w:val="24"/>
              <w:lang w:bidi="ar-SA"/>
            </w:rPr>
            <w:tab/>
          </w:r>
          <w:r>
            <w:rPr>
              <w:rStyle w:val="19"/>
              <w:rFonts w:cs="微软雅黑" w:asciiTheme="minorEastAsia" w:hAnsiTheme="minorEastAsia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_Toc45550342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jc w:val="center"/>
        <w:rPr>
          <w:rFonts w:ascii="黑体" w:hAnsi="黑体" w:eastAsia="黑体" w:cs="微软雅黑"/>
          <w:b/>
          <w:bCs/>
          <w:color w:val="000000" w:themeColor="text1"/>
          <w:sz w:val="48"/>
          <w:szCs w:val="48"/>
        </w:rPr>
        <w:sectPr>
          <w:footerReference r:id="rId3" w:type="default"/>
          <w:pgSz w:w="11906" w:h="16838"/>
          <w:pgMar w:top="1440" w:right="1800" w:bottom="567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本次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笔试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采取客户端考试软件在线考试形式进行。考试需要考生自备考试机1台（请选择台式电脑或笔记本电脑，不得使用各类平板电脑、智能手机）、网络、考试机需自带或外接摄像头，并能够采集音频及视频、监控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1台（智能手机），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考试机用于客户端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答题，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监控机需安装AI云监考APP用来监控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监考，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机和监控机均需要连接网络。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bookmarkStart w:id="0" w:name="_Toc45550328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考试设备</w:t>
      </w:r>
      <w:r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  <w:t>与网络配置</w:t>
      </w:r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要求</w:t>
      </w:r>
      <w:bookmarkEnd w:id="0"/>
    </w:p>
    <w:p>
      <w:pPr>
        <w:spacing w:line="276" w:lineRule="auto"/>
        <w:ind w:firstLine="440" w:firstLineChars="20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考生自行准备考试设备和场地参加考试，考试系统（电脑客户端）自带人脸核验和全程监控功能，作为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第一视角监控；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同时在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监控机上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（智能手机端）全程开启AI云监考（优巡）APP，作为第二视角独立监控。</w:t>
      </w:r>
    </w:p>
    <w:p>
      <w:pPr>
        <w:spacing w:line="276" w:lineRule="auto"/>
        <w:ind w:firstLine="440" w:firstLineChars="200"/>
        <w:jc w:val="both"/>
        <w:rPr>
          <w:rFonts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用于考试的电脑：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电脑保证能正常上外网且安装Windows（win7、win10）或macOS（10.0以上）操作系统；相关设备需要提前安装Chrome或Firefox浏览器，并配有可正常工作的摄像设备（内置或外置摄像头均可）；使用电脑下载易考客户端，请根据您考试设备的系统类型选择下载相应的版本。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hint="eastAsia"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易考客户端下载链接：</w:t>
      </w:r>
    </w:p>
    <w:p>
      <w:pPr>
        <w:pStyle w:val="21"/>
        <w:widowControl w:val="0"/>
        <w:spacing w:line="276" w:lineRule="auto"/>
        <w:ind w:left="840" w:firstLine="0" w:firstLineChars="0"/>
        <w:jc w:val="both"/>
        <w:rPr>
          <w:rStyle w:val="17"/>
          <w:rFonts w:hint="eastAsia" w:asciiTheme="minorEastAsia" w:hAnsiTheme="minorEastAsia" w:eastAsiaTheme="minorEastAsia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sz w:val="22"/>
          <w:szCs w:val="22"/>
        </w:rPr>
        <w:t>https://eztest.org/exam/session/114124/client/download/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考试期间全程使用摄像头，需确保电脑摄像头开启，全程正面面对考生；</w:t>
      </w:r>
    </w:p>
    <w:p>
      <w:pPr>
        <w:pStyle w:val="21"/>
        <w:widowControl w:val="0"/>
        <w:numPr>
          <w:ilvl w:val="0"/>
          <w:numId w:val="3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进入考试系统前应关闭无关网页和软件，包括安全卫士、电脑管家及各类通讯软件，以免被动弹窗被系统误判为作弊；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用于安装AI云监考（优巡）APP的智能手机：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带正常上网功能（</w:t>
      </w:r>
      <w:r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  <w:t>Wi-Fi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或移动数据）且前置摄像头正常工作的手机；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Android 4.1及以上或iOS系统10.1及以上；苹果机型：推荐iPhone 8及以上，iPad Air 2及以上；安卓机型：</w:t>
      </w:r>
      <w:r>
        <w:rPr>
          <w:rFonts w:asciiTheme="minorEastAsia" w:hAnsiTheme="minorEastAsia" w:eastAsiaTheme="minorEastAsia"/>
          <w:sz w:val="22"/>
          <w:szCs w:val="22"/>
        </w:rPr>
        <w:t>推荐</w:t>
      </w:r>
      <w:r>
        <w:rPr>
          <w:rFonts w:hint="eastAsia" w:asciiTheme="minorEastAsia" w:hAnsiTheme="minorEastAsia" w:eastAsiaTheme="minorEastAsia"/>
          <w:sz w:val="22"/>
          <w:szCs w:val="22"/>
        </w:rPr>
        <w:t>2018年以后的</w:t>
      </w:r>
      <w:r>
        <w:rPr>
          <w:rFonts w:asciiTheme="minorEastAsia" w:hAnsiTheme="minorEastAsia" w:eastAsiaTheme="minorEastAsia"/>
          <w:sz w:val="22"/>
          <w:szCs w:val="22"/>
        </w:rPr>
        <w:t>机型，不推荐使用安卓系统PAD</w:t>
      </w: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；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手机支架：将智能手机固定，便于拍摄考生正面进行监考。</w:t>
      </w:r>
    </w:p>
    <w:p>
      <w:pPr>
        <w:pStyle w:val="21"/>
        <w:numPr>
          <w:ilvl w:val="0"/>
          <w:numId w:val="4"/>
        </w:numPr>
        <w:spacing w:line="276" w:lineRule="auto"/>
        <w:ind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手机全程调至正常音量，不能静音，确保考试中能听到监考老师的呼叫。保持手机在前台运行状态，不能最小化，避免被识别为疑似作弊行为。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稳定且流畅的网络：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网络带宽不低于20Mbps，建议使用带宽50Mbps或以上的独立光纤网络；</w:t>
      </w:r>
    </w:p>
    <w:p>
      <w:pPr>
        <w:pStyle w:val="21"/>
        <w:numPr>
          <w:ilvl w:val="0"/>
          <w:numId w:val="5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建议考生准备4G等手机移动网络作为备用网络，并事先做好调试，以便出现网络故障时能迅速切换备用网络继续考试；</w:t>
      </w:r>
    </w:p>
    <w:p>
      <w:pPr>
        <w:pStyle w:val="21"/>
        <w:numPr>
          <w:ilvl w:val="0"/>
          <w:numId w:val="2"/>
        </w:numPr>
        <w:spacing w:line="276" w:lineRule="auto"/>
        <w:ind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使用设备前应关掉无关应用或提醒功能，避免来电、微信、或其他应用打断考试过程。</w:t>
      </w:r>
    </w:p>
    <w:p>
      <w:pPr>
        <w:pStyle w:val="21"/>
        <w:widowControl w:val="0"/>
        <w:spacing w:line="276" w:lineRule="auto"/>
        <w:ind w:left="420" w:firstLine="0" w:firstLineChars="0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苹果IOS设备关闭消息通知方法见：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Fonts w:asciiTheme="minorEastAsia" w:hAnsiTheme="minorEastAsia" w:eastAsiaTheme="minorEastAsia"/>
          <w:sz w:val="22"/>
          <w:szCs w:val="22"/>
        </w:rPr>
      </w:pPr>
      <w:r>
        <w:fldChar w:fldCharType="begin"/>
      </w:r>
      <w:r>
        <w:instrText xml:space="preserve"> HYPERLINK "https://jingyan.baidu.com/article/fcb5aff71285c4edaa4a712b.html"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https://jingyan.baidu.com/article/fcb5aff71285c4edaa4a712b.html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 w:val="0"/>
          <w:bCs w:val="0"/>
          <w:sz w:val="22"/>
          <w:szCs w:val="22"/>
        </w:rPr>
      </w:pPr>
      <w:r>
        <w:rPr>
          <w:rStyle w:val="17"/>
          <w:rFonts w:hint="eastAsia" w:asciiTheme="minorEastAsia" w:hAnsiTheme="minorEastAsia" w:eastAsiaTheme="minorEastAsia"/>
          <w:b w:val="0"/>
          <w:bCs w:val="0"/>
          <w:sz w:val="22"/>
          <w:szCs w:val="22"/>
        </w:rPr>
        <w:t>安卓设备关闭消息通知方法见：</w:t>
      </w:r>
    </w:p>
    <w:p>
      <w:pPr>
        <w:pStyle w:val="21"/>
        <w:widowControl w:val="0"/>
        <w:spacing w:line="276" w:lineRule="auto"/>
        <w:ind w:left="420" w:firstLine="0" w:firstLineChars="0"/>
        <w:jc w:val="both"/>
        <w:rPr>
          <w:rStyle w:val="17"/>
          <w:rFonts w:asciiTheme="minorEastAsia" w:hAnsiTheme="minorEastAsia" w:eastAsiaTheme="minorEastAsia"/>
          <w:bCs w:val="0"/>
          <w:color w:val="FF0000"/>
          <w:sz w:val="22"/>
          <w:szCs w:val="22"/>
        </w:rPr>
      </w:pPr>
      <w:r>
        <w:fldChar w:fldCharType="begin"/>
      </w:r>
      <w:r>
        <w:instrText xml:space="preserve"> HYPERLINK "https://jingyan.baidu.com/article/e75aca859a5fc3542edac6a6.html" </w:instrText>
      </w:r>
      <w:r>
        <w:fldChar w:fldCharType="separate"/>
      </w:r>
      <w:r>
        <w:rPr>
          <w:rStyle w:val="19"/>
          <w:rFonts w:asciiTheme="minorEastAsia" w:hAnsiTheme="minorEastAsia" w:eastAsiaTheme="minorEastAsia"/>
          <w:sz w:val="22"/>
          <w:szCs w:val="22"/>
        </w:rPr>
        <w:t>https://jingyan.baidu.com/article/e75aca859a5fc3542edac6a6.html</w:t>
      </w:r>
      <w:r>
        <w:rPr>
          <w:rStyle w:val="19"/>
          <w:rFonts w:asciiTheme="minorEastAsia" w:hAnsiTheme="minorEastAsia" w:eastAsiaTheme="minorEastAsia"/>
          <w:sz w:val="22"/>
          <w:szCs w:val="22"/>
        </w:rPr>
        <w:fldChar w:fldCharType="end"/>
      </w:r>
    </w:p>
    <w:p>
      <w:pPr>
        <w:pStyle w:val="21"/>
        <w:spacing w:line="276" w:lineRule="auto"/>
        <w:ind w:left="420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特别提醒：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1）考试期间如发生考试设备或网络故障，故障解决后，考生可重新进入考试继续作答，之前的作答结果会实时保存；由于考试设备或网络故障导致考试时间的损失、或无法完成考试的，将不会获得补时或补考的机会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（2）正式考试过程中设有登录次数限制，若超过限制次数，考生将无法再进入考试。为确保考试顺利进行，请考生于开考前务必关闭无关网站、退出相关微信、QQ等软件账号，并将相关软件设置禁止app消息弹窗。</w:t>
      </w:r>
    </w:p>
    <w:p>
      <w:pPr>
        <w:pStyle w:val="21"/>
        <w:spacing w:line="276" w:lineRule="auto"/>
        <w:ind w:left="426" w:firstLine="0" w:firstLineChars="0"/>
        <w:rPr>
          <w:rStyle w:val="17"/>
          <w:b w:val="0"/>
          <w:bCs w:val="0"/>
          <w:sz w:val="22"/>
          <w:szCs w:val="22"/>
        </w:rPr>
      </w:pPr>
      <w:r>
        <w:rPr>
          <w:rStyle w:val="17"/>
          <w:rFonts w:hint="eastAsia"/>
          <w:b w:val="0"/>
          <w:bCs w:val="0"/>
          <w:sz w:val="22"/>
          <w:szCs w:val="22"/>
        </w:rPr>
        <w:t>（3）使用软件前请保证设备电量充足。</w:t>
      </w: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bookmarkStart w:id="1" w:name="_Toc45550329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考试操作流程介绍</w:t>
      </w:r>
      <w:bookmarkEnd w:id="1"/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bookmarkStart w:id="2" w:name="_Toc45550330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客户端安装</w:t>
      </w:r>
      <w:bookmarkEnd w:id="2"/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在浏览器中打开客户端的下载链接，根据考试设备的操作系统类型下载对应的客户端安装包（windows版和Mac版），下载界面如下图一样例所示。</w:t>
      </w:r>
    </w:p>
    <w:p>
      <w:pPr>
        <w:spacing w:line="276" w:lineRule="auto"/>
        <w:ind w:left="84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drawing>
          <wp:inline distT="0" distB="0" distL="0" distR="0">
            <wp:extent cx="5274310" cy="3982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840"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</w:p>
    <w:p>
      <w:pPr>
        <w:pStyle w:val="21"/>
        <w:spacing w:line="276" w:lineRule="auto"/>
        <w:ind w:left="360" w:firstLine="0" w:firstLineChars="0"/>
        <w:jc w:val="center"/>
        <w:rPr>
          <w:rFonts w:ascii="微软雅黑" w:hAnsi="微软雅黑" w:eastAsia="微软雅黑" w:cs="Arial"/>
          <w:b/>
          <w:bCs/>
          <w:color w:val="404040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（图一）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易考客户端适用于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</w:rPr>
        <w:t>Windows（win7、win10）或MacOS（10.0以上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）操作系统。您可根据自己考试设备的系统类型选择下载对应的版本。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客户端安装包下载完成后，可以看到“</w:t>
      </w:r>
      <w:r>
        <w:rPr>
          <w:rFonts w:hint="eastAsia" w:cs="微软雅黑" w:asciiTheme="minorEastAsia" w:hAnsiTheme="minorEastAsia" w:eastAsiaTheme="minorEastAsia"/>
          <w:b/>
          <w:bCs/>
          <w:color w:val="000000" w:themeColor="text1"/>
          <w:sz w:val="22"/>
          <w:szCs w:val="22"/>
        </w:rPr>
        <w:t>易考客户端安装程序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”图标。以</w:t>
      </w:r>
      <w:r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  <w:t>Windows版本为例，双击安装包图标，即可安装易考客户端。</w:t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双击图标，运行并安装客户端，如下图二所示。</w:t>
      </w:r>
    </w:p>
    <w:tbl>
      <w:tblPr>
        <w:tblStyle w:val="15"/>
        <w:tblW w:w="829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1847850" cy="1811020"/>
                  <wp:effectExtent l="0" t="0" r="11430" b="2540"/>
                  <wp:docPr id="10" name="图片 3" descr="C:\Users\LIUHAI~1\AppData\Local\Temp\1587103655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3" descr="C:\Users\LIUHAI~1\AppData\Local\Temp\1587103655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701290" cy="1878330"/>
                  <wp:effectExtent l="0" t="0" r="11430" b="11430"/>
                  <wp:docPr id="22" name="图片 22" descr="C:\Users\LIUHAI~1\AppData\Local\Temp\1587103817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LIUHAI~1\AppData\Local\Temp\1587103817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290" cy="187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（图二）</w:t>
      </w:r>
    </w:p>
    <w:p>
      <w:pPr>
        <w:pStyle w:val="21"/>
        <w:numPr>
          <w:ilvl w:val="0"/>
          <w:numId w:val="7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点击“下一步”，使用默认路径安装客户端；安装完成后，桌面上将会显示“易考客户端”图标，如下图三所示。</w:t>
      </w:r>
    </w:p>
    <w:tbl>
      <w:tblPr>
        <w:tblStyle w:val="15"/>
        <w:tblW w:w="85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31" w:hRule="atLeast"/>
        </w:trPr>
        <w:tc>
          <w:tcPr>
            <w:tcW w:w="8529" w:type="dxa"/>
            <w:tcBorders>
              <w:top w:val="dashSmallGap" w:color="auto" w:sz="4" w:space="0"/>
              <w:left w:val="dashSmallGap" w:color="auto" w:sz="4" w:space="0"/>
              <w:bottom w:val="dashSmallGap" w:color="auto" w:sz="4" w:space="0"/>
              <w:right w:val="dashSmallGap" w:color="auto" w:sz="4" w:space="0"/>
            </w:tcBorders>
          </w:tcPr>
          <w:p>
            <w:pPr>
              <w:pStyle w:val="21"/>
              <w:widowControl/>
              <w:spacing w:before="312" w:beforeLines="100" w:after="312" w:afterLines="100" w:line="276" w:lineRule="auto"/>
              <w:ind w:firstLine="0" w:firstLineChars="0"/>
              <w:jc w:val="left"/>
              <w:rPr>
                <w:rFonts w:ascii="微软雅黑" w:hAnsi="微软雅黑" w:eastAsia="微软雅黑" w:cs="等线"/>
                <w:color w:val="40404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等线"/>
                <w:sz w:val="21"/>
                <w:szCs w:val="21"/>
              </w:rPr>
              <w:drawing>
                <wp:inline distT="0" distB="0" distL="0" distR="0">
                  <wp:extent cx="2816860" cy="2176145"/>
                  <wp:effectExtent l="0" t="0" r="2540" b="3175"/>
                  <wp:docPr id="6" name="图片 6" descr="C:\Users\LIUHAI~1\AppData\Local\Temp\1587103891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LIUHAI~1\AppData\Local\Temp\1587103891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86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等线"/>
                <w:color w:val="404040"/>
                <w:sz w:val="21"/>
                <w:szCs w:val="21"/>
              </w:rPr>
              <w:drawing>
                <wp:inline distT="0" distB="0" distL="114300" distR="114300">
                  <wp:extent cx="2350770" cy="2155825"/>
                  <wp:effectExtent l="0" t="0" r="11430" b="8255"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770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21"/>
        <w:spacing w:line="276" w:lineRule="auto"/>
        <w:ind w:firstLine="0" w:firstLineChars="0"/>
        <w:jc w:val="center"/>
        <w:rPr>
          <w:rFonts w:ascii="微软雅黑" w:hAnsi="微软雅黑" w:eastAsia="微软雅黑" w:cs="等线"/>
          <w:sz w:val="21"/>
          <w:szCs w:val="21"/>
          <w:highlight w:val="lightGray"/>
        </w:rPr>
      </w:pPr>
      <w:r>
        <w:rPr>
          <w:rFonts w:hint="eastAsia" w:ascii="微软雅黑" w:hAnsi="微软雅黑" w:eastAsia="微软雅黑" w:cs="等线"/>
          <w:sz w:val="21"/>
          <w:szCs w:val="21"/>
          <w:highlight w:val="lightGray"/>
        </w:rPr>
        <w:t>（图三）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bookmarkStart w:id="3" w:name="_Toc45550331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调试摄像头</w:t>
      </w:r>
      <w:bookmarkEnd w:id="3"/>
    </w:p>
    <w:p>
      <w:pPr>
        <w:pStyle w:val="21"/>
        <w:ind w:firstLine="0" w:firstLineChars="0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4514850" cy="2647950"/>
            <wp:effectExtent l="0" t="0" r="0" b="0"/>
            <wp:docPr id="2" name="图片 2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无标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1644015</wp:posOffset>
            </wp:positionH>
            <wp:positionV relativeFrom="paragraph">
              <wp:posOffset>245745</wp:posOffset>
            </wp:positionV>
            <wp:extent cx="2004060" cy="1698625"/>
            <wp:effectExtent l="0" t="0" r="0" b="0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点击“调试设备”测试本机摄像头是否可用，如能清晰地看到图像，说明摄像头调用正常，即可登录考试。</w:t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cs="微软雅黑" w:asciiTheme="minorEastAsia" w:hAnsiTheme="minorEastAsia" w:eastAsiaTheme="minorEastAsia"/>
          <w:sz w:val="22"/>
          <w:szCs w:val="22"/>
        </w:rPr>
        <w:br w:type="textWrapping" w:clear="all"/>
      </w:r>
    </w:p>
    <w:p>
      <w:pPr>
        <w:pStyle w:val="21"/>
        <w:ind w:firstLine="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bookmarkStart w:id="4" w:name="_Toc45550332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客户端登录</w:t>
      </w:r>
      <w:bookmarkEnd w:id="4"/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双击运行“</w:t>
      </w:r>
      <w:r>
        <w:rPr>
          <w:rFonts w:hint="eastAsia" w:ascii="微软雅黑" w:hAnsi="微软雅黑" w:eastAsia="微软雅黑" w:cs="等线"/>
          <w:b/>
          <w:bCs/>
          <w:color w:val="404040"/>
          <w:sz w:val="21"/>
          <w:szCs w:val="21"/>
        </w:rPr>
        <w:t>易考客户端</w:t>
      </w:r>
      <w:r>
        <w:rPr>
          <w:rFonts w:hint="eastAsia" w:ascii="微软雅黑" w:hAnsi="微软雅黑" w:eastAsia="微软雅黑" w:cs="等线"/>
          <w:color w:val="404040"/>
          <w:sz w:val="21"/>
          <w:szCs w:val="21"/>
        </w:rPr>
        <w:t>”程序，在客户端界面输入各科目考试的考试口令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color w:val="FF0000"/>
          <w:sz w:val="21"/>
          <w:szCs w:val="21"/>
        </w:rPr>
        <w:t>特别提醒：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正式考试与模拟考试的口令不同，请考生注意查看主办方通知。</w:t>
      </w:r>
    </w:p>
    <w:p>
      <w:pPr>
        <w:pStyle w:val="21"/>
        <w:ind w:left="840" w:firstLine="0" w:firstLineChars="0"/>
        <w:rPr>
          <w:rFonts w:ascii="微软雅黑" w:hAnsi="微软雅黑" w:eastAsia="微软雅黑"/>
          <w:color w:val="FF0000"/>
          <w:sz w:val="21"/>
          <w:szCs w:val="21"/>
        </w:rPr>
      </w:pPr>
      <w:r>
        <w:drawing>
          <wp:inline distT="0" distB="0" distL="0" distR="0">
            <wp:extent cx="4366260" cy="21780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76226" cy="218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8"/>
        </w:numPr>
        <w:ind w:firstLineChars="0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t>在登录界面输入准考证号登录即可。（注：在登录时段内才可以登录）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4463415" cy="288607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4011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720" w:leftChars="300"/>
        <w:rPr>
          <w:rFonts w:ascii="微软雅黑" w:hAnsi="微软雅黑" w:eastAsia="微软雅黑"/>
          <w:color w:val="FF0000"/>
          <w:sz w:val="21"/>
          <w:szCs w:val="21"/>
        </w:rPr>
      </w:pPr>
      <w:r>
        <w:rPr>
          <w:rFonts w:hint="eastAsia" w:ascii="微软雅黑" w:hAnsi="微软雅黑" w:eastAsia="微软雅黑"/>
          <w:color w:val="FF0000"/>
          <w:sz w:val="21"/>
          <w:szCs w:val="21"/>
        </w:rPr>
        <w:t>注：</w:t>
      </w:r>
      <w:r>
        <w:rPr>
          <w:rFonts w:ascii="微软雅黑" w:hAnsi="微软雅黑" w:eastAsia="微软雅黑"/>
          <w:color w:val="FF0000"/>
          <w:sz w:val="21"/>
          <w:szCs w:val="21"/>
        </w:rPr>
        <w:t>若考试未到登录时间，则登录框会显示距离开考还有多久的倒计时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。</w:t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bookmarkStart w:id="5" w:name="_Toc45550333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信息确认及拍照</w:t>
      </w:r>
      <w:bookmarkEnd w:id="5"/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考生确认自己的基本信息（根据实际考试基本信息为准，下图仅为样图）；请考生核对基本信息，点击确定：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114300" distR="114300">
            <wp:extent cx="3321050" cy="244792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986" cy="247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核对照片后，点击“进入考试”：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287520" cy="33953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91538" cy="339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9"/>
        </w:numPr>
        <w:spacing w:line="276" w:lineRule="auto"/>
        <w:ind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点击进入考试按钮后，页面提示拍照，确保拍照光线充足、照片清晰。系统会自动提示照片拍照建议，确定后继续考试。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251200" cy="2796540"/>
            <wp:effectExtent l="0" t="0" r="0" b="0"/>
            <wp:docPr id="4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223" cy="281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3545205" cy="180721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2376" cy="1821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6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bookmarkStart w:id="6" w:name="_Toc45550334"/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答题及交卷</w:t>
      </w:r>
      <w:bookmarkEnd w:id="6"/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点击开始考试，进入考试界面；</w:t>
      </w:r>
    </w:p>
    <w:p>
      <w:pPr>
        <w:jc w:val="center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drawing>
          <wp:inline distT="0" distB="0" distL="0" distR="0">
            <wp:extent cx="4940300" cy="204851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125" cy="214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numPr>
          <w:ilvl w:val="0"/>
          <w:numId w:val="10"/>
        </w:numPr>
        <w:ind w:firstLineChars="0"/>
        <w:rPr>
          <w:rFonts w:ascii="微软雅黑" w:hAnsi="微软雅黑" w:eastAsia="微软雅黑"/>
          <w:color w:val="000000" w:themeColor="text1"/>
          <w:sz w:val="21"/>
          <w:szCs w:val="21"/>
        </w:rPr>
      </w:pPr>
      <w:r>
        <w:rPr>
          <w:rFonts w:ascii="微软雅黑" w:hAnsi="微软雅黑" w:eastAsia="微软雅黑"/>
          <w:color w:val="000000" w:themeColor="text1"/>
          <w:sz w:val="21"/>
          <w:szCs w:val="21"/>
        </w:rPr>
        <w:t>若考试包含多个单元，需先结束当前单元后进入下一单元的答题</w:t>
      </w:r>
      <w:r>
        <w:rPr>
          <w:rFonts w:ascii="微软雅黑" w:hAnsi="微软雅黑" w:eastAsia="微软雅黑"/>
          <w:color w:val="FF0000"/>
          <w:sz w:val="21"/>
          <w:szCs w:val="21"/>
        </w:rPr>
        <w:t>（注意：结束单元后不可</w:t>
      </w:r>
      <w:r>
        <w:rPr>
          <w:rFonts w:hint="eastAsia" w:ascii="微软雅黑" w:hAnsi="微软雅黑" w:eastAsia="微软雅黑"/>
          <w:color w:val="FF0000"/>
          <w:sz w:val="21"/>
          <w:szCs w:val="21"/>
        </w:rPr>
        <w:t>再</w:t>
      </w:r>
      <w:r>
        <w:rPr>
          <w:rFonts w:ascii="微软雅黑" w:hAnsi="微软雅黑" w:eastAsia="微软雅黑"/>
          <w:color w:val="FF0000"/>
          <w:sz w:val="21"/>
          <w:szCs w:val="21"/>
        </w:rPr>
        <w:t>返回修改该单元答案，请考生确认无误后再结束）</w:t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2726055" cy="70040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170" cy="747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3292475" cy="131191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3354" cy="1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ind w:left="840" w:firstLineChars="0"/>
        <w:rPr>
          <w:rFonts w:cs="微软雅黑" w:asciiTheme="minorEastAsia" w:hAnsiTheme="minorEastAsia" w:eastAsiaTheme="minorEastAsia"/>
          <w:color w:val="000000" w:themeColor="text1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000000" w:themeColor="text1"/>
          <w:sz w:val="22"/>
          <w:szCs w:val="22"/>
        </w:rPr>
        <w:t>考试界面有显示考试计时，考完后点击右下角“结束考试”即可交卷。</w:t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5029200" cy="611505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252" cy="6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2980055" cy="108712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346" cy="11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0"/>
        </w:numPr>
        <w:spacing w:line="276" w:lineRule="auto"/>
        <w:ind w:left="84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完成所有单元考试后，“结束考试”即可交卷。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客服支持：客户端在线考试系统，如果遇到设备或操作等技术问题，可点击页面右侧“在线客服”获取帮助。</w:t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4433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"/>
        <w:numPr>
          <w:ilvl w:val="0"/>
          <w:numId w:val="1"/>
        </w:numPr>
        <w:spacing w:line="240" w:lineRule="auto"/>
        <w:rPr>
          <w:rFonts w:cs="微软雅黑" w:asciiTheme="minorEastAsia" w:hAnsiTheme="minorEastAsia" w:eastAsiaTheme="minorEastAsia"/>
          <w:color w:val="000000" w:themeColor="text1"/>
          <w:sz w:val="28"/>
          <w:szCs w:val="28"/>
        </w:rPr>
      </w:pPr>
      <w:bookmarkStart w:id="7" w:name="_Toc41382659"/>
      <w:bookmarkStart w:id="8" w:name="_Toc45550335"/>
      <w:r>
        <w:rPr>
          <w:rFonts w:hint="eastAsia" w:cs="微软雅黑" w:asciiTheme="minorEastAsia" w:hAnsiTheme="minorEastAsia" w:eastAsiaTheme="minorEastAsia"/>
          <w:color w:val="000000" w:themeColor="text1"/>
          <w:sz w:val="28"/>
          <w:szCs w:val="28"/>
        </w:rPr>
        <w:t>AI云监考APP操作流程介绍</w:t>
      </w:r>
      <w:bookmarkEnd w:id="7"/>
      <w:bookmarkEnd w:id="8"/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9" w:name="_Toc41382660"/>
      <w:bookmarkStart w:id="10" w:name="_Toc45550336"/>
      <w:r>
        <w:rPr>
          <w:rFonts w:hint="eastAsia" w:cs="微软雅黑" w:asciiTheme="minorEastAsia" w:hAnsiTheme="minorEastAsia" w:eastAsiaTheme="minorEastAsia"/>
          <w:sz w:val="22"/>
          <w:szCs w:val="22"/>
        </w:rPr>
        <w:t>操作流程图</w:t>
      </w:r>
      <w:bookmarkEnd w:id="9"/>
      <w:bookmarkEnd w:id="10"/>
      <w:bookmarkStart w:id="24" w:name="_GoBack"/>
      <w:bookmarkEnd w:id="24"/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drawing>
          <wp:inline distT="0" distB="0" distL="0" distR="0">
            <wp:extent cx="4867910" cy="1612265"/>
            <wp:effectExtent l="0" t="0" r="0" b="0"/>
            <wp:docPr id="11" name="图片 11" descr="图片包含 游戏机, 钟表, 橙子, 红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, 钟表, 橙子, 红色&#10;&#10;描述已自动生成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913" cy="162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1" w:name="_Toc41382661"/>
      <w:bookmarkStart w:id="12" w:name="_Toc45550337"/>
      <w:r>
        <w:rPr>
          <w:rFonts w:hint="eastAsia" w:cs="微软雅黑" w:asciiTheme="minorEastAsia" w:hAnsiTheme="minorEastAsia" w:eastAsiaTheme="minorEastAsia"/>
          <w:sz w:val="22"/>
          <w:szCs w:val="22"/>
        </w:rPr>
        <w:t>IOS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1"/>
      <w:bookmarkEnd w:id="12"/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在APP Store中搜索AI云监考，找到应用，点击获取并安装</w:t>
      </w:r>
    </w:p>
    <w:p>
      <w:pPr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309110" cy="171005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手机屏幕截图&#10;&#10;描述已自动生成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1721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ab/>
      </w: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t xml:space="preserve">IOS APP 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端操作-登录并开启权限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输入准考证号和考试ID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确认身份信息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阅读并确认考生须知</w:t>
      </w:r>
    </w:p>
    <w:p>
      <w:pPr>
        <w:pStyle w:val="21"/>
        <w:numPr>
          <w:ilvl w:val="0"/>
          <w:numId w:val="12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开启相机和麦克风权限，进入下一步</w:t>
      </w:r>
    </w:p>
    <w:p>
      <w:pPr>
        <w:pStyle w:val="21"/>
        <w:spacing w:line="276" w:lineRule="auto"/>
        <w:ind w:left="73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2567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3" w:name="_Toc41382662"/>
      <w:bookmarkStart w:id="14" w:name="_Toc45550338"/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APP下载安装与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3"/>
      <w:bookmarkEnd w:id="14"/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使用微信扫描下面二维码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如未自动跳转浏览器请点击屏幕右上角的“…”标志</w:t>
      </w:r>
    </w:p>
    <w:p>
      <w:pPr>
        <w:pStyle w:val="21"/>
        <w:numPr>
          <w:ilvl w:val="0"/>
          <w:numId w:val="13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选择在浏览器打开</w:t>
      </w:r>
    </w:p>
    <w:p>
      <w:pPr>
        <w:pStyle w:val="21"/>
        <w:numPr>
          <w:ilvl w:val="0"/>
          <w:numId w:val="13"/>
        </w:numPr>
        <w:spacing w:line="276" w:lineRule="auto"/>
        <w:ind w:firstLine="33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点击下载APP，并安装</w:t>
      </w: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1784350" cy="1784350"/>
            <wp:effectExtent l="171450" t="171450" r="368300" b="368300"/>
            <wp:docPr id="53" name="图片 52" descr="图片包含 黑色, 片, 手, 白色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2" descr="图片包含 黑色, 片, 手, 白色&#10;&#10;描述已自动生成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711" cy="178671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Android手机若自动跳转至QQ浏览器或手机自带浏览器，请直接点击下载APP</w:t>
      </w:r>
    </w:p>
    <w:p>
      <w:pPr>
        <w:spacing w:line="276" w:lineRule="auto"/>
        <w:ind w:firstLine="331" w:firstLineChars="150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pStyle w:val="21"/>
        <w:spacing w:line="276" w:lineRule="auto"/>
        <w:ind w:left="426" w:firstLine="0" w:firstLineChars="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53255" cy="2294890"/>
            <wp:effectExtent l="0" t="0" r="0" b="0"/>
            <wp:docPr id="15" name="图片 15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5033" cy="23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Android APP端操作-登录并开启权限：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启动 APP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开启拍摄权限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开启文件权限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开启语音权限</w:t>
      </w:r>
    </w:p>
    <w:p>
      <w:pPr>
        <w:pStyle w:val="21"/>
        <w:numPr>
          <w:ilvl w:val="0"/>
          <w:numId w:val="14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输入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准考证号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和考试ID号，进入考试</w:t>
      </w:r>
    </w:p>
    <w:p>
      <w:pPr>
        <w:spacing w:line="276" w:lineRule="auto"/>
        <w:ind w:firstLine="360" w:firstLineChars="150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drawing>
          <wp:inline distT="0" distB="0" distL="0" distR="0">
            <wp:extent cx="5274310" cy="198374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不同品牌Android手机开启权限方式不同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，请确保开启</w:t>
      </w:r>
      <w:r>
        <w:rPr>
          <w:rFonts w:hint="eastAsia" w:cs="微软雅黑" w:asciiTheme="minorEastAsia" w:hAnsiTheme="minorEastAsia" w:eastAsiaTheme="minorEastAsia"/>
          <w:color w:val="FF0000"/>
          <w:sz w:val="22"/>
          <w:szCs w:val="22"/>
        </w:rPr>
        <w:t>拍摄、文件、语音权限</w:t>
      </w:r>
      <w:r>
        <w:rPr>
          <w:rFonts w:hint="eastAsia" w:cs="微软雅黑" w:asciiTheme="minorEastAsia" w:hAnsiTheme="minorEastAsia" w:eastAsiaTheme="minorEastAsia"/>
          <w:sz w:val="22"/>
          <w:szCs w:val="22"/>
        </w:rPr>
        <w:t>。</w:t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5" w:name="_Toc41382663"/>
      <w:bookmarkStart w:id="16" w:name="_Toc45550339"/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将手机固定在合适位置</w:t>
      </w:r>
      <w:bookmarkEnd w:id="15"/>
      <w:bookmarkEnd w:id="16"/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将手机固定在考生左侧方或右侧方，高度0-30cm，距离考生70CM左右的位置。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手机与桌面尽量垂直摆放，能采集到考生正面和大部分考试环境。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确保前置摄像头不被电脑屏幕或其他杂物遮挡。</w:t>
      </w:r>
    </w:p>
    <w:p>
      <w:pPr>
        <w:pStyle w:val="21"/>
        <w:numPr>
          <w:ilvl w:val="0"/>
          <w:numId w:val="15"/>
        </w:numPr>
        <w:spacing w:line="276" w:lineRule="auto"/>
        <w:ind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确保前置摄像头可以拍摄到考生的头部、面部、手部和桌面，以免造成无法识别或被错误识别为疑似作弊行为。</w:t>
      </w:r>
    </w:p>
    <w:p>
      <w:pPr>
        <w:spacing w:line="276" w:lineRule="auto"/>
        <w:ind w:left="425" w:leftChars="177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5274310" cy="25177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330" w:firstLineChars="15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7" w:name="_Toc45550340"/>
      <w:bookmarkStart w:id="18" w:name="_Toc41382664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APP端操作-验证后</w:t>
      </w:r>
      <w:r>
        <w:rPr>
          <w:rFonts w:cs="微软雅黑" w:asciiTheme="minorEastAsia" w:hAnsiTheme="minorEastAsia" w:eastAsiaTheme="minorEastAsia"/>
          <w:sz w:val="22"/>
          <w:szCs w:val="22"/>
        </w:rPr>
        <w:t>登录</w:t>
      </w:r>
      <w:bookmarkEnd w:id="17"/>
      <w:bookmarkEnd w:id="18"/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人脸验证</w:t>
      </w:r>
    </w:p>
    <w:p>
      <w:pPr>
        <w:pStyle w:val="21"/>
        <w:spacing w:line="276" w:lineRule="auto"/>
        <w:ind w:left="1155" w:firstLine="0" w:firstLineChars="0"/>
        <w:jc w:val="both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1015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阅读并确认考前须知</w:t>
      </w:r>
    </w:p>
    <w:p>
      <w:pPr>
        <w:pStyle w:val="21"/>
        <w:numPr>
          <w:ilvl w:val="0"/>
          <w:numId w:val="16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进入考试</w:t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drawing>
          <wp:inline distT="0" distB="0" distL="0" distR="0">
            <wp:extent cx="5274310" cy="256286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drawing>
          <wp:inline distT="0" distB="0" distL="0" distR="0">
            <wp:extent cx="4672330" cy="2571115"/>
            <wp:effectExtent l="0" t="0" r="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6796" cy="2573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21"/>
        <w:spacing w:line="276" w:lineRule="auto"/>
        <w:ind w:left="1155" w:firstLine="0" w:firstLineChars="0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19" w:name="_Toc45550341"/>
      <w:bookmarkStart w:id="20" w:name="_Toc41382665"/>
      <w:r>
        <w:rPr>
          <w:rFonts w:hint="eastAsia" w:cs="微软雅黑" w:asciiTheme="minorEastAsia" w:hAnsiTheme="minorEastAsia" w:eastAsiaTheme="minorEastAsia"/>
          <w:sz w:val="22"/>
          <w:szCs w:val="22"/>
        </w:rPr>
        <w:t>APP端操作-结束考试</w:t>
      </w:r>
      <w:bookmarkEnd w:id="19"/>
      <w:bookmarkEnd w:id="20"/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考试结束后，点击完成考试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确认结束考试</w:t>
      </w:r>
    </w:p>
    <w:p>
      <w:pPr>
        <w:pStyle w:val="21"/>
        <w:numPr>
          <w:ilvl w:val="0"/>
          <w:numId w:val="17"/>
        </w:numPr>
        <w:spacing w:line="276" w:lineRule="auto"/>
        <w:ind w:left="1155" w:firstLineChars="0"/>
        <w:rPr>
          <w:rFonts w:cs="微软雅黑" w:asciiTheme="minorEastAsia" w:hAnsiTheme="minorEastAsia" w:eastAsiaTheme="minorEastAsia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sz w:val="22"/>
          <w:szCs w:val="22"/>
        </w:rPr>
        <w:t>返回登录界面</w:t>
      </w:r>
    </w:p>
    <w:p>
      <w:pPr>
        <w:spacing w:line="276" w:lineRule="auto"/>
        <w:ind w:firstLine="440" w:firstLineChars="199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drawing>
          <wp:inline distT="0" distB="0" distL="0" distR="0">
            <wp:extent cx="4470400" cy="1917700"/>
            <wp:effectExtent l="0" t="0" r="0" b="0"/>
            <wp:docPr id="21" name="图片 21" descr="截图里有图片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里有图片&#10;&#10;描述已自动生成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0238" cy="1943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1"/>
        </w:numPr>
        <w:spacing w:line="276" w:lineRule="auto"/>
        <w:rPr>
          <w:rFonts w:cs="微软雅黑" w:asciiTheme="minorEastAsia" w:hAnsiTheme="minorEastAsia" w:eastAsiaTheme="minorEastAsia"/>
          <w:sz w:val="22"/>
          <w:szCs w:val="22"/>
        </w:rPr>
      </w:pPr>
      <w:bookmarkStart w:id="21" w:name="_Toc41382666"/>
      <w:bookmarkStart w:id="22" w:name="_Toc45550342"/>
      <w:r>
        <w:rPr>
          <w:rFonts w:hint="eastAsia" w:cs="微软雅黑" w:asciiTheme="minorEastAsia" w:hAnsiTheme="minorEastAsia" w:eastAsiaTheme="minorEastAsia"/>
          <w:sz w:val="22"/>
          <w:szCs w:val="22"/>
        </w:rPr>
        <w:t>注意事项</w:t>
      </w:r>
      <w:bookmarkEnd w:id="21"/>
      <w:bookmarkEnd w:id="22"/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进入到人脸识别，将头部放置在指定画面位置进行识别。识别过程中确保光线适宜，避免光线过强或过暗，如识别未通过，请调整角度或识别环境。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请根据考试安排，提前进入APP测试，如遇到无法登陆或使用问题，可联系技术支持。开考前支持重复登陆登出。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保证手机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电量充足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，避免手机断电关机导致被判断违规。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考试开始后，选择结束考试，后台将记为“考生已正常交卷”；强行退出APP或掉线，将视为“离线”异常。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手机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不能静音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，全程调至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正常音量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，确保考试中能听到监考老师的呼叫。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考试全过程，优巡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APP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始终</w:t>
      </w:r>
      <w:r>
        <w:rPr>
          <w:rFonts w:hint="eastAsia" w:cs="微软雅黑" w:asciiTheme="minorEastAsia" w:hAnsiTheme="minorEastAsia" w:eastAsiaTheme="minorEastAsia"/>
          <w:color w:val="FF0000"/>
          <w:kern w:val="2"/>
          <w:sz w:val="22"/>
          <w:szCs w:val="22"/>
        </w:rPr>
        <w:t>保持</w:t>
      </w:r>
      <w:r>
        <w:rPr>
          <w:rFonts w:cs="微软雅黑" w:asciiTheme="minorEastAsia" w:hAnsiTheme="minorEastAsia" w:eastAsiaTheme="minorEastAsia"/>
          <w:color w:val="FF0000"/>
          <w:kern w:val="2"/>
          <w:sz w:val="22"/>
          <w:szCs w:val="22"/>
        </w:rPr>
        <w:t>前台运行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状态，不能最小化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或退出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，避免造成录像中断，被识别为疑似作弊行为</w:t>
      </w: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考试开始后，请根据考试要求遵守考试纪律。您在考试中的行为将由AI识别并推送给后台监考老师和系统。</w:t>
      </w:r>
    </w:p>
    <w:p>
      <w:pPr>
        <w:pStyle w:val="21"/>
        <w:widowControl w:val="0"/>
        <w:numPr>
          <w:ilvl w:val="0"/>
          <w:numId w:val="18"/>
        </w:numPr>
        <w:spacing w:line="276" w:lineRule="auto"/>
        <w:ind w:left="840" w:firstLineChars="0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考试过程中，考官可根据需要与您视频沟通。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客服支持：</w:t>
      </w:r>
      <w:bookmarkStart w:id="23" w:name="_Hlk41033911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AI云监考（优巡）APP</w:t>
      </w:r>
      <w:bookmarkEnd w:id="23"/>
      <w:r>
        <w:rPr>
          <w:rFonts w:hint="eastAsia" w:cs="微软雅黑" w:asciiTheme="minorEastAsia" w:hAnsiTheme="minorEastAsia" w:eastAsiaTheme="minorEastAsia"/>
          <w:b/>
          <w:bCs/>
          <w:sz w:val="22"/>
          <w:szCs w:val="22"/>
        </w:rPr>
        <w:t>在考试过程中，如果遇到设备或操作等技术问题，可咨询在线客服获取帮助。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rPr>
          <w:rFonts w:hint="eastAsia" w:cs="微软雅黑" w:asciiTheme="minorEastAsia" w:hAnsiTheme="minorEastAsia" w:eastAsiaTheme="minorEastAsia"/>
          <w:kern w:val="2"/>
          <w:sz w:val="22"/>
          <w:szCs w:val="22"/>
        </w:rPr>
        <w:t>访问以下网址或手机扫描二维码，点击页面右侧的“联系客服，在线咨询</w:t>
      </w: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t>”</w:t>
      </w:r>
    </w:p>
    <w:p>
      <w:pPr>
        <w:widowControl w:val="0"/>
        <w:spacing w:line="276" w:lineRule="auto"/>
        <w:jc w:val="both"/>
        <w:rPr>
          <w:rFonts w:cs="微软雅黑" w:asciiTheme="minorEastAsia" w:hAnsiTheme="minorEastAsia" w:eastAsiaTheme="minorEastAsia"/>
          <w:kern w:val="2"/>
          <w:sz w:val="22"/>
          <w:szCs w:val="22"/>
        </w:rPr>
      </w:pPr>
      <w:r>
        <w:fldChar w:fldCharType="begin"/>
      </w:r>
      <w:r>
        <w:instrText xml:space="preserve"> HYPERLINK "http://www.aitestgo.com/" </w:instrText>
      </w:r>
      <w:r>
        <w:fldChar w:fldCharType="separate"/>
      </w:r>
      <w:r>
        <w:rPr>
          <w:kern w:val="2"/>
        </w:rPr>
        <w:t>http://www.aitestgo.com/</w:t>
      </w:r>
      <w:r>
        <w:rPr>
          <w:kern w:val="2"/>
        </w:rPr>
        <w:fldChar w:fldCharType="end"/>
      </w:r>
    </w:p>
    <w:p>
      <w:pPr>
        <w:widowControl w:val="0"/>
        <w:spacing w:line="276" w:lineRule="auto"/>
        <w:jc w:val="center"/>
        <w:rPr>
          <w:rFonts w:cs="微软雅黑" w:asciiTheme="minorEastAsia" w:hAnsiTheme="minorEastAsia" w:eastAsiaTheme="minorEastAsia"/>
          <w:b/>
          <w:bCs/>
          <w:sz w:val="22"/>
          <w:szCs w:val="22"/>
        </w:rPr>
      </w:pPr>
      <w:r>
        <w:rPr>
          <w:rFonts w:cs="微软雅黑" w:asciiTheme="minorEastAsia" w:hAnsiTheme="minorEastAsia" w:eastAsiaTheme="minorEastAsia"/>
          <w:kern w:val="2"/>
          <w:sz w:val="22"/>
          <w:szCs w:val="22"/>
        </w:rPr>
        <w:drawing>
          <wp:inline distT="0" distB="0" distL="0" distR="0">
            <wp:extent cx="2392680" cy="2392680"/>
            <wp:effectExtent l="190500" t="190500" r="198120" b="19812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885" cy="2392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567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34215156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14</w:t>
        </w:r>
        <w:r>
          <w:fldChar w:fldCharType="end"/>
        </w:r>
      </w:p>
    </w:sdtContent>
  </w:sdt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7080E"/>
    <w:multiLevelType w:val="multilevel"/>
    <w:tmpl w:val="07C7080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AF64069"/>
    <w:multiLevelType w:val="multilevel"/>
    <w:tmpl w:val="0AF64069"/>
    <w:lvl w:ilvl="0" w:tentative="0">
      <w:start w:val="1"/>
      <w:numFmt w:val="decimal"/>
      <w:lvlText w:val="%1)"/>
      <w:lvlJc w:val="left"/>
      <w:pPr>
        <w:ind w:left="1095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75" w:hanging="420"/>
      </w:pPr>
    </w:lvl>
    <w:lvl w:ilvl="2" w:tentative="0">
      <w:start w:val="1"/>
      <w:numFmt w:val="lowerRoman"/>
      <w:lvlText w:val="%3."/>
      <w:lvlJc w:val="right"/>
      <w:pPr>
        <w:ind w:left="1995" w:hanging="420"/>
      </w:pPr>
    </w:lvl>
    <w:lvl w:ilvl="3" w:tentative="0">
      <w:start w:val="1"/>
      <w:numFmt w:val="decimal"/>
      <w:lvlText w:val="%4."/>
      <w:lvlJc w:val="left"/>
      <w:pPr>
        <w:ind w:left="2415" w:hanging="420"/>
      </w:pPr>
    </w:lvl>
    <w:lvl w:ilvl="4" w:tentative="0">
      <w:start w:val="1"/>
      <w:numFmt w:val="lowerLetter"/>
      <w:lvlText w:val="%5)"/>
      <w:lvlJc w:val="left"/>
      <w:pPr>
        <w:ind w:left="2835" w:hanging="420"/>
      </w:pPr>
    </w:lvl>
    <w:lvl w:ilvl="5" w:tentative="0">
      <w:start w:val="1"/>
      <w:numFmt w:val="lowerRoman"/>
      <w:lvlText w:val="%6."/>
      <w:lvlJc w:val="right"/>
      <w:pPr>
        <w:ind w:left="3255" w:hanging="420"/>
      </w:pPr>
    </w:lvl>
    <w:lvl w:ilvl="6" w:tentative="0">
      <w:start w:val="1"/>
      <w:numFmt w:val="decimal"/>
      <w:lvlText w:val="%7."/>
      <w:lvlJc w:val="left"/>
      <w:pPr>
        <w:ind w:left="3675" w:hanging="420"/>
      </w:pPr>
    </w:lvl>
    <w:lvl w:ilvl="7" w:tentative="0">
      <w:start w:val="1"/>
      <w:numFmt w:val="lowerLetter"/>
      <w:lvlText w:val="%8)"/>
      <w:lvlJc w:val="left"/>
      <w:pPr>
        <w:ind w:left="4095" w:hanging="420"/>
      </w:pPr>
    </w:lvl>
    <w:lvl w:ilvl="8" w:tentative="0">
      <w:start w:val="1"/>
      <w:numFmt w:val="lowerRoman"/>
      <w:lvlText w:val="%9."/>
      <w:lvlJc w:val="right"/>
      <w:pPr>
        <w:ind w:left="4515" w:hanging="420"/>
      </w:pPr>
    </w:lvl>
  </w:abstractNum>
  <w:abstractNum w:abstractNumId="2">
    <w:nsid w:val="15034777"/>
    <w:multiLevelType w:val="multilevel"/>
    <w:tmpl w:val="15034777"/>
    <w:lvl w:ilvl="0" w:tentative="0">
      <w:start w:val="1"/>
      <w:numFmt w:val="decimal"/>
      <w:lvlText w:val="%1）"/>
      <w:lvlJc w:val="left"/>
      <w:pPr>
        <w:ind w:left="126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3">
    <w:nsid w:val="1C7E3193"/>
    <w:multiLevelType w:val="multilevel"/>
    <w:tmpl w:val="1C7E3193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E6A7EB1"/>
    <w:multiLevelType w:val="multilevel"/>
    <w:tmpl w:val="1E6A7EB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A647847"/>
    <w:multiLevelType w:val="multilevel"/>
    <w:tmpl w:val="2A64784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6">
    <w:nsid w:val="37587C12"/>
    <w:multiLevelType w:val="multilevel"/>
    <w:tmpl w:val="37587C12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48E36CD1"/>
    <w:multiLevelType w:val="multilevel"/>
    <w:tmpl w:val="48E36CD1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BE265A8"/>
    <w:multiLevelType w:val="multilevel"/>
    <w:tmpl w:val="4BE265A8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9">
    <w:nsid w:val="5408065B"/>
    <w:multiLevelType w:val="multilevel"/>
    <w:tmpl w:val="5408065B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0">
    <w:nsid w:val="57E82E6F"/>
    <w:multiLevelType w:val="multilevel"/>
    <w:tmpl w:val="57E82E6F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5D6406CF"/>
    <w:multiLevelType w:val="multilevel"/>
    <w:tmpl w:val="5D6406CF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2">
    <w:nsid w:val="60AC662E"/>
    <w:multiLevelType w:val="multilevel"/>
    <w:tmpl w:val="60AC662E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654A103B"/>
    <w:multiLevelType w:val="multilevel"/>
    <w:tmpl w:val="654A103B"/>
    <w:lvl w:ilvl="0" w:tentative="0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4">
    <w:nsid w:val="6BA573DB"/>
    <w:multiLevelType w:val="multilevel"/>
    <w:tmpl w:val="6BA573DB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5">
    <w:nsid w:val="771E7B11"/>
    <w:multiLevelType w:val="multilevel"/>
    <w:tmpl w:val="771E7B11"/>
    <w:lvl w:ilvl="0" w:tentative="0">
      <w:start w:val="1"/>
      <w:numFmt w:val="decimal"/>
      <w:lvlText w:val="%1)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6">
    <w:nsid w:val="7C575A5C"/>
    <w:multiLevelType w:val="multilevel"/>
    <w:tmpl w:val="7C575A5C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7FFB0E97"/>
    <w:multiLevelType w:val="multilevel"/>
    <w:tmpl w:val="7FFB0E97"/>
    <w:lvl w:ilvl="0" w:tentative="0">
      <w:start w:val="1"/>
      <w:numFmt w:val="decimal"/>
      <w:lvlText w:val="%1)"/>
      <w:lvlJc w:val="left"/>
      <w:pPr>
        <w:ind w:left="735" w:hanging="420"/>
      </w:pPr>
    </w:lvl>
    <w:lvl w:ilvl="1" w:tentative="0">
      <w:start w:val="1"/>
      <w:numFmt w:val="lowerLetter"/>
      <w:lvlText w:val="%2)"/>
      <w:lvlJc w:val="left"/>
      <w:pPr>
        <w:ind w:left="1155" w:hanging="420"/>
      </w:pPr>
    </w:lvl>
    <w:lvl w:ilvl="2" w:tentative="0">
      <w:start w:val="1"/>
      <w:numFmt w:val="lowerRoman"/>
      <w:lvlText w:val="%3."/>
      <w:lvlJc w:val="right"/>
      <w:pPr>
        <w:ind w:left="1575" w:hanging="420"/>
      </w:pPr>
    </w:lvl>
    <w:lvl w:ilvl="3" w:tentative="0">
      <w:start w:val="1"/>
      <w:numFmt w:val="decimal"/>
      <w:lvlText w:val="%4."/>
      <w:lvlJc w:val="left"/>
      <w:pPr>
        <w:ind w:left="1995" w:hanging="420"/>
      </w:pPr>
    </w:lvl>
    <w:lvl w:ilvl="4" w:tentative="0">
      <w:start w:val="1"/>
      <w:numFmt w:val="lowerLetter"/>
      <w:lvlText w:val="%5)"/>
      <w:lvlJc w:val="left"/>
      <w:pPr>
        <w:ind w:left="2415" w:hanging="420"/>
      </w:pPr>
    </w:lvl>
    <w:lvl w:ilvl="5" w:tentative="0">
      <w:start w:val="1"/>
      <w:numFmt w:val="lowerRoman"/>
      <w:lvlText w:val="%6."/>
      <w:lvlJc w:val="right"/>
      <w:pPr>
        <w:ind w:left="2835" w:hanging="420"/>
      </w:pPr>
    </w:lvl>
    <w:lvl w:ilvl="6" w:tentative="0">
      <w:start w:val="1"/>
      <w:numFmt w:val="decimal"/>
      <w:lvlText w:val="%7."/>
      <w:lvlJc w:val="left"/>
      <w:pPr>
        <w:ind w:left="3255" w:hanging="420"/>
      </w:pPr>
    </w:lvl>
    <w:lvl w:ilvl="7" w:tentative="0">
      <w:start w:val="1"/>
      <w:numFmt w:val="lowerLetter"/>
      <w:lvlText w:val="%8)"/>
      <w:lvlJc w:val="left"/>
      <w:pPr>
        <w:ind w:left="3675" w:hanging="420"/>
      </w:pPr>
    </w:lvl>
    <w:lvl w:ilvl="8" w:tentative="0">
      <w:start w:val="1"/>
      <w:numFmt w:val="lowerRoman"/>
      <w:lvlText w:val="%9."/>
      <w:lvlJc w:val="right"/>
      <w:pPr>
        <w:ind w:left="4095" w:hanging="420"/>
      </w:pPr>
    </w:lvl>
  </w:abstractNum>
  <w:num w:numId="1">
    <w:abstractNumId w:val="7"/>
  </w:num>
  <w:num w:numId="2">
    <w:abstractNumId w:val="0"/>
  </w:num>
  <w:num w:numId="3">
    <w:abstractNumId w:val="14"/>
  </w:num>
  <w:num w:numId="4">
    <w:abstractNumId w:val="4"/>
  </w:num>
  <w:num w:numId="5">
    <w:abstractNumId w:val="12"/>
  </w:num>
  <w:num w:numId="6">
    <w:abstractNumId w:val="11"/>
  </w:num>
  <w:num w:numId="7">
    <w:abstractNumId w:val="2"/>
  </w:num>
  <w:num w:numId="8">
    <w:abstractNumId w:val="15"/>
  </w:num>
  <w:num w:numId="9">
    <w:abstractNumId w:val="10"/>
  </w:num>
  <w:num w:numId="10">
    <w:abstractNumId w:val="6"/>
  </w:num>
  <w:num w:numId="11">
    <w:abstractNumId w:val="3"/>
  </w:num>
  <w:num w:numId="12">
    <w:abstractNumId w:val="5"/>
  </w:num>
  <w:num w:numId="13">
    <w:abstractNumId w:val="1"/>
  </w:num>
  <w:num w:numId="14">
    <w:abstractNumId w:val="8"/>
  </w:num>
  <w:num w:numId="15">
    <w:abstractNumId w:val="9"/>
  </w:num>
  <w:num w:numId="16">
    <w:abstractNumId w:val="16"/>
  </w:num>
  <w:num w:numId="17">
    <w:abstractNumId w:val="1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C51B80"/>
    <w:rsid w:val="00011364"/>
    <w:rsid w:val="00097044"/>
    <w:rsid w:val="000A4BC8"/>
    <w:rsid w:val="00171607"/>
    <w:rsid w:val="00234EE7"/>
    <w:rsid w:val="00242424"/>
    <w:rsid w:val="00264A29"/>
    <w:rsid w:val="00292F9E"/>
    <w:rsid w:val="00380312"/>
    <w:rsid w:val="003E6765"/>
    <w:rsid w:val="00571A20"/>
    <w:rsid w:val="005C0C24"/>
    <w:rsid w:val="006016D4"/>
    <w:rsid w:val="00660828"/>
    <w:rsid w:val="00733B05"/>
    <w:rsid w:val="00891710"/>
    <w:rsid w:val="009310F0"/>
    <w:rsid w:val="009971F5"/>
    <w:rsid w:val="009D33CC"/>
    <w:rsid w:val="00C214AF"/>
    <w:rsid w:val="00C51B80"/>
    <w:rsid w:val="00C773CF"/>
    <w:rsid w:val="00D257FE"/>
    <w:rsid w:val="00EF2360"/>
    <w:rsid w:val="00F16D9A"/>
    <w:rsid w:val="00F5796E"/>
    <w:rsid w:val="05940BEB"/>
    <w:rsid w:val="26F3380D"/>
    <w:rsid w:val="2E6C2EAF"/>
    <w:rsid w:val="307651CC"/>
    <w:rsid w:val="3E2B3C60"/>
    <w:rsid w:val="3FDE10AA"/>
    <w:rsid w:val="43906531"/>
    <w:rsid w:val="476D7E94"/>
    <w:rsid w:val="53223821"/>
    <w:rsid w:val="6C9B3C20"/>
    <w:rsid w:val="70C149E2"/>
    <w:rsid w:val="73CF334F"/>
    <w:rsid w:val="7D7C735F"/>
    <w:rsid w:val="7D8F30B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8"/>
    <w:unhideWhenUsed/>
    <w:qFormat/>
    <w:uiPriority w:val="0"/>
    <w:rPr>
      <w:sz w:val="20"/>
      <w:szCs w:val="20"/>
    </w:rPr>
  </w:style>
  <w:style w:type="paragraph" w:styleId="5">
    <w:name w:val="toc 3"/>
    <w:basedOn w:val="1"/>
    <w:next w:val="1"/>
    <w:unhideWhenUsed/>
    <w:qFormat/>
    <w:uiPriority w:val="39"/>
    <w:pPr>
      <w:spacing w:after="100" w:line="259" w:lineRule="auto"/>
      <w:ind w:left="44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6">
    <w:name w:val="Balloon Text"/>
    <w:basedOn w:val="1"/>
    <w:link w:val="24"/>
    <w:qFormat/>
    <w:uiPriority w:val="0"/>
    <w:rPr>
      <w:sz w:val="18"/>
      <w:szCs w:val="18"/>
    </w:rPr>
  </w:style>
  <w:style w:type="paragraph" w:styleId="7">
    <w:name w:val="footer"/>
    <w:basedOn w:val="1"/>
    <w:link w:val="23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22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  <w:pPr>
      <w:spacing w:after="100" w:line="259" w:lineRule="auto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0">
    <w:name w:val="toc 2"/>
    <w:basedOn w:val="1"/>
    <w:next w:val="1"/>
    <w:unhideWhenUsed/>
    <w:qFormat/>
    <w:uiPriority w:val="39"/>
    <w:pPr>
      <w:spacing w:after="100" w:line="259" w:lineRule="auto"/>
      <w:ind w:left="220"/>
    </w:pPr>
    <w:rPr>
      <w:rFonts w:cs="Times New Roman" w:asciiTheme="minorHAnsi" w:hAnsiTheme="minorHAnsi" w:eastAsiaTheme="minorEastAsia"/>
      <w:sz w:val="22"/>
      <w:szCs w:val="22"/>
      <w:lang w:bidi="mn-Mong-CN"/>
    </w:r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2">
    <w:name w:val="Title"/>
    <w:basedOn w:val="1"/>
    <w:next w:val="1"/>
    <w:link w:val="27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3">
    <w:name w:val="annotation subject"/>
    <w:basedOn w:val="4"/>
    <w:next w:val="4"/>
    <w:link w:val="29"/>
    <w:unhideWhenUsed/>
    <w:qFormat/>
    <w:uiPriority w:val="0"/>
    <w:rPr>
      <w:b/>
      <w:bCs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22"/>
    <w:rPr>
      <w:b/>
      <w:bCs/>
    </w:rPr>
  </w:style>
  <w:style w:type="character" w:styleId="18">
    <w:name w:val="FollowedHyperlink"/>
    <w:basedOn w:val="16"/>
    <w:unhideWhenUsed/>
    <w:qFormat/>
    <w:uiPriority w:val="0"/>
    <w:rPr>
      <w:color w:val="954F72" w:themeColor="followedHyperlink"/>
      <w:u w:val="single"/>
    </w:rPr>
  </w:style>
  <w:style w:type="character" w:styleId="19">
    <w:name w:val="Hyperlink"/>
    <w:basedOn w:val="16"/>
    <w:unhideWhenUsed/>
    <w:qFormat/>
    <w:uiPriority w:val="99"/>
    <w:rPr>
      <w:color w:val="0000FF"/>
      <w:u w:val="single"/>
    </w:rPr>
  </w:style>
  <w:style w:type="character" w:styleId="20">
    <w:name w:val="annotation reference"/>
    <w:basedOn w:val="16"/>
    <w:unhideWhenUsed/>
    <w:qFormat/>
    <w:uiPriority w:val="0"/>
    <w:rPr>
      <w:sz w:val="16"/>
      <w:szCs w:val="16"/>
    </w:rPr>
  </w:style>
  <w:style w:type="paragraph" w:customStyle="1" w:styleId="21">
    <w:name w:val="列表段落1"/>
    <w:basedOn w:val="1"/>
    <w:qFormat/>
    <w:uiPriority w:val="34"/>
    <w:pPr>
      <w:ind w:firstLine="420" w:firstLineChars="200"/>
    </w:pPr>
  </w:style>
  <w:style w:type="character" w:customStyle="1" w:styleId="22">
    <w:name w:val="页眉 Char"/>
    <w:basedOn w:val="16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3">
    <w:name w:val="页脚 Char"/>
    <w:basedOn w:val="16"/>
    <w:link w:val="7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24">
    <w:name w:val="批注框文本 Char"/>
    <w:basedOn w:val="16"/>
    <w:link w:val="6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5">
    <w:name w:val="标题 1 Char"/>
    <w:basedOn w:val="16"/>
    <w:link w:val="2"/>
    <w:qFormat/>
    <w:uiPriority w:val="0"/>
    <w:rPr>
      <w:rFonts w:ascii="宋体" w:hAnsi="宋体" w:eastAsia="宋体" w:cs="宋体"/>
      <w:b/>
      <w:bCs/>
      <w:kern w:val="44"/>
      <w:sz w:val="44"/>
      <w:szCs w:val="44"/>
    </w:rPr>
  </w:style>
  <w:style w:type="character" w:customStyle="1" w:styleId="26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7">
    <w:name w:val="标题 Char"/>
    <w:basedOn w:val="16"/>
    <w:link w:val="12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8">
    <w:name w:val="批注文字 Char"/>
    <w:basedOn w:val="16"/>
    <w:link w:val="4"/>
    <w:semiHidden/>
    <w:qFormat/>
    <w:uiPriority w:val="0"/>
    <w:rPr>
      <w:rFonts w:ascii="宋体" w:hAnsi="宋体" w:eastAsia="宋体" w:cs="宋体"/>
    </w:rPr>
  </w:style>
  <w:style w:type="character" w:customStyle="1" w:styleId="29">
    <w:name w:val="批注主题 Char"/>
    <w:basedOn w:val="28"/>
    <w:link w:val="13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31">
    <w:name w:val="TOC 标题1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  <w:lang w:bidi="mn-Mong-CN"/>
    </w:rPr>
  </w:style>
  <w:style w:type="paragraph" w:customStyle="1" w:styleId="32">
    <w:name w:val="修订2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3">
    <w:name w:val="未处理的提及1"/>
    <w:basedOn w:val="16"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701</Words>
  <Characters>3996</Characters>
  <Lines>33</Lines>
  <Paragraphs>9</Paragraphs>
  <TotalTime>10</TotalTime>
  <ScaleCrop>false</ScaleCrop>
  <LinksUpToDate>false</LinksUpToDate>
  <CharactersWithSpaces>4688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2020-07-23T19:40:00Z</dcterms:created>
  <dc:creator>XR</dc:creator>
  <cp:lastModifiedBy>CI21834</cp:lastModifiedBy>
  <dcterms:modified xsi:type="dcterms:W3CDTF">2021-03-04T12:21:40Z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