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附件3</w:t>
      </w:r>
    </w:p>
    <w:p>
      <w:pPr>
        <w:autoSpaceDE w:val="0"/>
        <w:spacing w:line="460" w:lineRule="exact"/>
        <w:ind w:firstLine="360" w:firstLineChars="100"/>
        <w:jc w:val="center"/>
        <w:rPr>
          <w:rFonts w:ascii="方正小标宋简体" w:hAnsi="Calibri" w:eastAsia="方正小标宋简体"/>
          <w:color w:val="auto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color w:val="auto"/>
          <w:sz w:val="36"/>
          <w:szCs w:val="36"/>
        </w:rPr>
        <w:t>青海省中小学教学研究与教师发展中心</w:t>
      </w:r>
    </w:p>
    <w:p>
      <w:pPr>
        <w:autoSpaceDE w:val="0"/>
        <w:spacing w:line="460" w:lineRule="exact"/>
        <w:ind w:firstLine="360" w:firstLineChars="100"/>
        <w:jc w:val="center"/>
        <w:rPr>
          <w:rFonts w:ascii="方正小标宋简体" w:eastAsia="方正小标宋简体"/>
          <w:color w:val="auto"/>
          <w:sz w:val="36"/>
          <w:szCs w:val="36"/>
        </w:rPr>
      </w:pPr>
      <w:r>
        <w:rPr>
          <w:rFonts w:hint="eastAsia" w:ascii="方正小标宋简体" w:eastAsia="方正小标宋简体"/>
          <w:color w:val="auto"/>
          <w:sz w:val="36"/>
          <w:szCs w:val="36"/>
        </w:rPr>
        <w:t>公开选调中小学教研员专业发展评价表</w:t>
      </w:r>
    </w:p>
    <w:bookmarkEnd w:id="0"/>
    <w:p>
      <w:pPr>
        <w:rPr>
          <w:color w:val="auto"/>
        </w:rPr>
      </w:pPr>
    </w:p>
    <w:p>
      <w:pPr>
        <w:pStyle w:val="2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  <w:spacing w:val="8"/>
          <w:kern w:val="0"/>
          <w:sz w:val="24"/>
        </w:rPr>
        <w:t>姓名：         拟报岗位：           现任职称聘任时间：</w:t>
      </w:r>
    </w:p>
    <w:tbl>
      <w:tblPr>
        <w:tblStyle w:val="5"/>
        <w:tblW w:w="0" w:type="auto"/>
        <w:tblInd w:w="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1122"/>
        <w:gridCol w:w="2302"/>
        <w:gridCol w:w="2412"/>
        <w:gridCol w:w="1677"/>
        <w:gridCol w:w="7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15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项目</w:t>
            </w:r>
          </w:p>
        </w:tc>
        <w:tc>
          <w:tcPr>
            <w:tcW w:w="7513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标准</w:t>
            </w:r>
          </w:p>
        </w:tc>
        <w:tc>
          <w:tcPr>
            <w:tcW w:w="7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得分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5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荣誉称号类</w:t>
            </w:r>
          </w:p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（10分）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color w:val="auto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8"/>
              </w:rPr>
              <w:t xml:space="preserve">  获得特级教师、骨干教师、学科带头人、师德标兵、优秀教师（先进工作者）、优秀共产党员、优秀党务工作者等荣誉称号，国家、省、市（州）级别的，分别记10、8、6分。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Calibri" w:eastAsia="仿宋_GB2312" w:cs="宋体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15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业务荣誉类</w:t>
            </w:r>
          </w:p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（10分）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color w:val="auto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8"/>
              </w:rPr>
              <w:t xml:space="preserve">  ①各级名师：国家、省、市（州）级分别记10、8、6分；②学科带头人、骨干教师等：国家、省、市（州）级分别记8、6、4分；③教坛新秀、教研教改先进个人等:国家、省、市（州）级分别记6、4、2分。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Calibri" w:eastAsia="仿宋_GB2312" w:cs="宋体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6" w:hRule="atLeast"/>
        </w:trPr>
        <w:tc>
          <w:tcPr>
            <w:tcW w:w="152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教学竞赛类</w:t>
            </w:r>
          </w:p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（30分）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color w:val="auto"/>
                <w:spacing w:val="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8"/>
              </w:rPr>
              <w:t xml:space="preserve">  教育行政主管部门举办的各类教学竞赛活动获国家级一、二、三等奖分别记30、25、20分，省级一、二、三等奖分别记25、20、15分，市（州）级一、二、三等奖分别记20、15、10分。</w:t>
            </w:r>
          </w:p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color w:val="auto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8"/>
              </w:rPr>
              <w:t xml:space="preserve">  “一师一优课”、各学会专业委员会（学科）比赛和各类视频参赛课获奖均按同级降一档计分。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Calibri" w:eastAsia="仿宋_GB2312" w:cs="宋体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1523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科研成果类</w:t>
            </w:r>
          </w:p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（30分）</w:t>
            </w:r>
          </w:p>
        </w:tc>
        <w:tc>
          <w:tcPr>
            <w:tcW w:w="751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jc w:val="both"/>
              <w:rPr>
                <w:rFonts w:ascii="仿宋_GB2312" w:hAnsi="Calibri" w:eastAsia="仿宋_GB2312" w:cs="Times New Roman"/>
                <w:color w:val="auto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8"/>
              </w:rPr>
              <w:t xml:space="preserve">  教学案例、论文参加各级教育行政主管部门评比获省级及以上一、二、三等奖分别记10、8、6分，市（州）级一、二、三等奖分别记8、6、4分。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Calibri" w:eastAsia="仿宋_GB2312" w:cs="宋体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 w:hRule="atLeast"/>
        </w:trPr>
        <w:tc>
          <w:tcPr>
            <w:tcW w:w="2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kern w:val="0"/>
                <w:sz w:val="24"/>
              </w:rPr>
            </w:pP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jc w:val="both"/>
              <w:rPr>
                <w:rFonts w:ascii="仿宋_GB2312" w:hAnsi="Calibri" w:eastAsia="仿宋_GB2312" w:cs="Times New Roman"/>
                <w:b/>
                <w:bCs/>
                <w:color w:val="auto"/>
                <w:spacing w:val="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8"/>
              </w:rPr>
              <w:t xml:space="preserve">  在核心期刊发表与从教专业相关的文章，每一篇得2分，累计不超过10分。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Calibri" w:eastAsia="仿宋_GB2312" w:cs="宋体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2645" w:type="dxa"/>
            <w:vMerge w:val="continue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kern w:val="0"/>
                <w:sz w:val="24"/>
              </w:rPr>
            </w:pP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jc w:val="both"/>
              <w:rPr>
                <w:rFonts w:ascii="仿宋_GB2312" w:hAnsi="Calibri" w:eastAsia="仿宋_GB2312" w:cs="Times New Roman"/>
                <w:b/>
                <w:bCs/>
                <w:color w:val="auto"/>
                <w:spacing w:val="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8"/>
              </w:rPr>
              <w:t>  申请国家、省、市（州）课题并结题的（信息技术类课题除外），主持人分别记10、8、6分，成员分别记8、6、4分。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Calibri" w:eastAsia="仿宋_GB2312" w:cs="宋体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1523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学术交流类</w:t>
            </w:r>
          </w:p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（10分）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both"/>
              <w:rPr>
                <w:rFonts w:ascii="仿宋_GB2312" w:hAnsi="Calibri" w:eastAsia="仿宋_GB2312" w:cs="Times New Roman"/>
                <w:color w:val="auto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8"/>
              </w:rPr>
              <w:t>  公开课、示范课、经验交流或讲座在国家、省、市（州）级交流的分别记10、8、6分。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Calibri" w:eastAsia="仿宋_GB2312" w:cs="宋体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</w:trPr>
        <w:tc>
          <w:tcPr>
            <w:tcW w:w="1523" w:type="dxa"/>
            <w:vMerge w:val="restart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jc w:val="center"/>
              <w:rPr>
                <w:rFonts w:ascii="黑体" w:hAnsi="黑体" w:eastAsia="黑体" w:cs="Times New Roman"/>
                <w:color w:val="auto"/>
                <w:spacing w:val="8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信息技术类（10分）</w:t>
            </w: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ind w:firstLine="256" w:firstLineChars="100"/>
              <w:jc w:val="both"/>
              <w:rPr>
                <w:rFonts w:ascii="仿宋_GB2312" w:hAnsi="Calibri" w:eastAsia="仿宋_GB2312" w:cs="Times New Roman"/>
                <w:color w:val="auto"/>
                <w:spacing w:val="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8"/>
              </w:rPr>
              <w:t>申请国家、省、市（州）信息技术与学科深度融合方面课题并结题的，主持人分别记5、4、3分，成员分别记4、3、2分。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Calibri" w:eastAsia="仿宋_GB2312" w:cs="宋体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</w:trPr>
        <w:tc>
          <w:tcPr>
            <w:tcW w:w="2645" w:type="dxa"/>
            <w:vMerge w:val="continue"/>
            <w:tcBorders>
              <w:top w:val="nil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color w:val="auto"/>
                <w:spacing w:val="8"/>
                <w:kern w:val="0"/>
                <w:sz w:val="24"/>
              </w:rPr>
            </w:pPr>
          </w:p>
        </w:tc>
        <w:tc>
          <w:tcPr>
            <w:tcW w:w="7513" w:type="dxa"/>
            <w:gridSpan w:val="4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ind w:firstLine="256" w:firstLineChars="100"/>
              <w:jc w:val="both"/>
              <w:rPr>
                <w:rFonts w:ascii="仿宋_GB2312" w:hAnsi="Calibri" w:eastAsia="仿宋_GB2312" w:cs="Times New Roman"/>
                <w:color w:val="auto"/>
                <w:spacing w:val="8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spacing w:val="8"/>
              </w:rPr>
              <w:t>国家、省、市（州）教师信息技术能力提升工程2.0专家团队成员，分别记5、4、3分。</w:t>
            </w:r>
          </w:p>
        </w:tc>
        <w:tc>
          <w:tcPr>
            <w:tcW w:w="774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仿宋_GB2312" w:hAnsi="Calibri" w:eastAsia="仿宋_GB2312" w:cs="宋体"/>
                <w:color w:val="auto"/>
                <w:spacing w:val="8"/>
                <w:sz w:val="25"/>
                <w:szCs w:val="2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2645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center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总得分（100分）</w:t>
            </w:r>
          </w:p>
        </w:tc>
        <w:tc>
          <w:tcPr>
            <w:tcW w:w="23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宋体"/>
                <w:color w:val="auto"/>
                <w:spacing w:val="8"/>
                <w:sz w:val="25"/>
                <w:szCs w:val="25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4"/>
              <w:widowControl w:val="0"/>
              <w:wordWrap w:val="0"/>
              <w:spacing w:before="0" w:beforeAutospacing="0" w:after="0" w:afterAutospacing="0"/>
              <w:jc w:val="both"/>
              <w:rPr>
                <w:rFonts w:ascii="黑体" w:hAnsi="黑体" w:eastAsia="黑体" w:cs="Times New Roman"/>
                <w:color w:val="auto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8"/>
              </w:rPr>
              <w:t>折算得分（30%）</w:t>
            </w:r>
          </w:p>
        </w:tc>
        <w:tc>
          <w:tcPr>
            <w:tcW w:w="245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wordWrap w:val="0"/>
              <w:rPr>
                <w:rFonts w:ascii="黑体" w:hAnsi="黑体" w:eastAsia="黑体" w:cs="宋体"/>
                <w:color w:val="auto"/>
                <w:spacing w:val="8"/>
                <w:sz w:val="25"/>
                <w:szCs w:val="25"/>
              </w:rPr>
            </w:pPr>
          </w:p>
        </w:tc>
      </w:tr>
    </w:tbl>
    <w:p>
      <w:pPr>
        <w:pStyle w:val="4"/>
        <w:widowControl w:val="0"/>
        <w:shd w:val="clear" w:color="auto" w:fill="FFFFFF"/>
        <w:autoSpaceDE w:val="0"/>
        <w:spacing w:before="90" w:beforeAutospacing="0" w:after="2" w:afterAutospacing="0" w:line="200" w:lineRule="exact"/>
        <w:ind w:left="136"/>
        <w:jc w:val="both"/>
        <w:rPr>
          <w:rStyle w:val="7"/>
          <w:rFonts w:ascii="仿宋_GB2312" w:eastAsia="仿宋_GB2312"/>
          <w:color w:val="auto"/>
          <w:spacing w:val="8"/>
          <w:sz w:val="28"/>
          <w:szCs w:val="28"/>
          <w:shd w:val="clear" w:color="auto" w:fill="FFFFFF"/>
        </w:rPr>
      </w:pPr>
    </w:p>
    <w:p>
      <w:pPr>
        <w:pStyle w:val="4"/>
        <w:widowControl w:val="0"/>
        <w:shd w:val="clear" w:color="auto" w:fill="FFFFFF"/>
        <w:autoSpaceDE w:val="0"/>
        <w:spacing w:before="90" w:beforeAutospacing="0" w:after="2" w:afterAutospacing="0" w:line="240" w:lineRule="exact"/>
        <w:ind w:left="136"/>
        <w:jc w:val="both"/>
        <w:rPr>
          <w:rFonts w:ascii="仿宋_GB2312" w:hAnsi="Calibri" w:eastAsia="仿宋_GB2312"/>
          <w:color w:val="auto"/>
          <w:spacing w:val="8"/>
          <w:shd w:val="clear" w:color="auto" w:fill="FFFFFF"/>
        </w:rPr>
      </w:pPr>
      <w:r>
        <w:rPr>
          <w:rStyle w:val="7"/>
          <w:rFonts w:hint="eastAsia" w:ascii="仿宋_GB2312" w:eastAsia="仿宋_GB2312"/>
          <w:color w:val="auto"/>
          <w:spacing w:val="8"/>
          <w:sz w:val="28"/>
          <w:szCs w:val="28"/>
          <w:shd w:val="clear" w:color="auto" w:fill="FFFFFF"/>
        </w:rPr>
        <w:t>备注：</w:t>
      </w:r>
      <w:r>
        <w:rPr>
          <w:rFonts w:hint="eastAsia" w:ascii="仿宋_GB2312" w:hAnsi="Calibri" w:eastAsia="仿宋_GB2312"/>
          <w:b/>
          <w:bCs/>
          <w:color w:val="auto"/>
          <w:spacing w:val="8"/>
          <w:shd w:val="clear" w:color="auto" w:fill="FFFFFF"/>
        </w:rPr>
        <w:t>1.</w:t>
      </w:r>
      <w:r>
        <w:rPr>
          <w:rFonts w:hint="eastAsia" w:ascii="仿宋_GB2312" w:hAnsi="Calibri" w:eastAsia="仿宋_GB2312"/>
          <w:color w:val="auto"/>
          <w:spacing w:val="8"/>
          <w:shd w:val="clear" w:color="auto" w:fill="FFFFFF"/>
        </w:rPr>
        <w:t>每个加分项目，每项均只取最高一个奖项计分；</w:t>
      </w:r>
    </w:p>
    <w:p>
      <w:pPr>
        <w:pStyle w:val="4"/>
        <w:widowControl w:val="0"/>
        <w:shd w:val="clear" w:color="auto" w:fill="FFFFFF"/>
        <w:autoSpaceDE w:val="0"/>
        <w:spacing w:before="90" w:beforeAutospacing="0" w:after="2" w:afterAutospacing="0" w:line="240" w:lineRule="exact"/>
        <w:ind w:firstLine="1028" w:firstLineChars="400"/>
        <w:jc w:val="both"/>
        <w:rPr>
          <w:rFonts w:ascii="仿宋_GB2312" w:hAnsi="Calibri" w:eastAsia="仿宋_GB2312"/>
          <w:color w:val="auto"/>
          <w:spacing w:val="8"/>
          <w:shd w:val="clear" w:color="auto" w:fill="FFFFFF"/>
        </w:rPr>
      </w:pPr>
      <w:r>
        <w:rPr>
          <w:rFonts w:hint="eastAsia" w:ascii="仿宋_GB2312" w:hAnsi="Calibri" w:eastAsia="仿宋_GB2312"/>
          <w:b/>
          <w:bCs/>
          <w:color w:val="auto"/>
          <w:spacing w:val="8"/>
          <w:shd w:val="clear" w:color="auto" w:fill="FFFFFF"/>
        </w:rPr>
        <w:t>2.</w:t>
      </w:r>
      <w:r>
        <w:rPr>
          <w:rFonts w:hint="eastAsia" w:ascii="仿宋_GB2312" w:hAnsi="Calibri" w:eastAsia="仿宋_GB2312"/>
          <w:color w:val="auto"/>
          <w:spacing w:val="8"/>
          <w:shd w:val="clear" w:color="auto" w:fill="FFFFFF"/>
        </w:rPr>
        <w:t>总得分低于30分（含30分）的不予选调；</w:t>
      </w:r>
    </w:p>
    <w:p>
      <w:pPr>
        <w:pStyle w:val="4"/>
        <w:widowControl w:val="0"/>
        <w:shd w:val="clear" w:color="auto" w:fill="FFFFFF"/>
        <w:autoSpaceDE w:val="0"/>
        <w:spacing w:before="90" w:beforeAutospacing="0" w:after="2" w:afterAutospacing="0" w:line="240" w:lineRule="exact"/>
        <w:ind w:firstLine="1028" w:firstLineChars="400"/>
        <w:jc w:val="both"/>
        <w:rPr>
          <w:rFonts w:ascii="Calibri" w:hAnsi="Calibri"/>
          <w:color w:val="auto"/>
        </w:rPr>
      </w:pPr>
      <w:r>
        <w:rPr>
          <w:rFonts w:hint="eastAsia" w:ascii="仿宋_GB2312" w:hAnsi="Calibri" w:eastAsia="仿宋_GB2312"/>
          <w:b/>
          <w:bCs/>
          <w:color w:val="auto"/>
          <w:spacing w:val="8"/>
          <w:shd w:val="clear" w:color="auto" w:fill="FFFFFF"/>
        </w:rPr>
        <w:t>3.</w:t>
      </w:r>
      <w:r>
        <w:rPr>
          <w:rFonts w:hint="eastAsia" w:ascii="仿宋_GB2312" w:hAnsi="Calibri" w:eastAsia="仿宋_GB2312"/>
          <w:color w:val="auto"/>
          <w:spacing w:val="8"/>
          <w:shd w:val="clear" w:color="auto" w:fill="FFFFFF"/>
        </w:rPr>
        <w:t>本表由青海省中小学教学研究与教师发展中心负责解释。</w:t>
      </w:r>
    </w:p>
    <w:p>
      <w:pPr>
        <w:widowControl/>
        <w:jc w:val="left"/>
        <w:rPr>
          <w:rFonts w:ascii="黑体" w:hAnsi="黑体" w:eastAsia="黑体" w:cs="宋体"/>
          <w:color w:val="auto"/>
          <w:sz w:val="32"/>
          <w:szCs w:val="32"/>
        </w:rPr>
        <w:sectPr>
          <w:footerReference r:id="rId3" w:type="default"/>
          <w:pgSz w:w="11906" w:h="16838"/>
          <w:pgMar w:top="2098" w:right="1474" w:bottom="1985" w:left="1588" w:header="720" w:footer="720" w:gutter="0"/>
          <w:pgNumType w:fmt="numberInDash"/>
          <w:cols w:space="720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path/>
              <v:fill on="f" focussize="0,0"/>
              <v:stroke on="f" joinstyle="miter"/>
              <v:imagedata o:title=""/>
              <o:lock v:ext="edit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C5170"/>
    <w:rsid w:val="6D9C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7">
    <w:name w:val="15"/>
    <w:basedOn w:val="6"/>
    <w:qFormat/>
    <w:uiPriority w:val="0"/>
    <w:rPr>
      <w:rFonts w:hint="default" w:ascii="Calibri" w:hAnsi="Calibri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2021-02-22T08:44:00Z</dcterms:created>
  <dc:creator>lx</dc:creator>
  <cp:lastModifiedBy>lx</cp:lastModifiedBy>
  <dcterms:modified xsi:type="dcterms:W3CDTF">2021-02-22T08:44:26Z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