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1757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serif" w:hAnsi="serif" w:eastAsia="serif" w:cs="serif"/>
          <w:i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FFFFF"/>
        </w:rPr>
        <w:t>2020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FFFFF"/>
        </w:rPr>
        <w:t>年枣庄高新区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FFFFF"/>
        </w:rPr>
        <w:t>第二批青年人才优选专业分类目录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  一、硕士需符合以下一级学科专业要求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理论经济学、应用经济学、法学、机械工程、光学工程、仪器科学与技术、材料科学与工程、动力工程及工程热物理、电子科学与技术、信息与通信工程、控制科学与工程、计算机科学与技术、化学工程与技术、生物医学工程、软件工程、工商管理、兽医学（基础兽医学、预防兽医、临床兽医学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二、本科生需符合以下一级学科专业要求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 经济学类、财政学类、金融学类、经济与贸易类、法学类、机械类、仪器类、能源动力类、电气类、电子信息类、自动化类、计算机类、化工与制药类、生物医学工程类、建筑类、工商管理类、工业工程类、电子商务类,动物医学专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2020-11-23T01:38:21Z</dcterms:created>
  <dc:creator>Administrator</dc:creator>
  <cp:lastModifiedBy>Administrator</cp:lastModifiedBy>
  <dcterms:modified xsi:type="dcterms:W3CDTF">2020-11-23T01:38:24Z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