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  <w:r>
        <w:rPr>
          <w:rFonts w:hint="eastAsia" w:ascii="黑体" w:hAnsi="仿宋" w:eastAsia="黑体" w:cs="仿宋"/>
          <w:bCs/>
          <w:kern w:val="0"/>
          <w:sz w:val="32"/>
          <w:szCs w:val="32"/>
        </w:rPr>
        <w:t>附件</w:t>
      </w:r>
      <w:r>
        <w:rPr>
          <w:rFonts w:ascii="黑体" w:hAnsi="仿宋" w:eastAsia="黑体" w:cs="仿宋"/>
          <w:bCs/>
          <w:kern w:val="0"/>
          <w:sz w:val="32"/>
          <w:szCs w:val="32"/>
        </w:rPr>
        <w:t>2</w:t>
      </w:r>
    </w:p>
    <w:p>
      <w:pPr>
        <w:overflowPunct w:val="0"/>
        <w:spacing w:line="56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ascii="方正小标宋简体" w:hAnsi="仿宋" w:eastAsia="方正小标宋简体" w:cs="仿宋"/>
          <w:bCs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年鹤山区事业单位专业设置指导目录</w:t>
      </w:r>
    </w:p>
    <w:p>
      <w:pPr>
        <w:overflowPunct w:val="0"/>
        <w:spacing w:line="56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rightChars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审计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类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会计学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审计学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财务管理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财务会计教育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rightChars="0"/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财务类：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会计学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财政学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金融学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金融数学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财务管理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财务会计教育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 w:rightChars="0"/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统计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统计学、应用统计学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数学与应用数学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信息与计算科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Chars="0" w:right="0" w:rightChars="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eastAsia="zh-CN"/>
        </w:rPr>
        <w:t>林业类：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园林技术、森林资源保护、经济林培育与利用、野生植物资源保护与利用、野生动物资源保护与利用、森林生态旅游、森林防火指挥与通讯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医疗类：</w:t>
      </w:r>
      <w:r>
        <w:rPr>
          <w:rFonts w:hint="eastAsia" w:ascii="仿宋" w:hAnsi="仿宋" w:eastAsia="仿宋" w:cs="仿宋"/>
          <w:sz w:val="32"/>
          <w:szCs w:val="32"/>
        </w:rPr>
        <w:t>基础医学、临床医学、麻醉学、医学影像学、眼视光医学、精神医学、放射医学、口腔医学、中医学、针灸推拿学、中西医临床医学、法医学、医学检验技术、医学实验技术、医学影像技术、眼视光学、康复治疗学、口腔医学技术、护理学</w:t>
      </w:r>
    </w:p>
    <w:p>
      <w:pPr>
        <w:spacing w:line="560" w:lineRule="exact"/>
        <w:rPr>
          <w:rFonts w:hint="eastAsia" w:ascii="仿宋_GB2312" w:hAnsi="仿宋" w:cs="仿宋"/>
        </w:rPr>
      </w:pPr>
    </w:p>
    <w:p>
      <w:pPr>
        <w:spacing w:line="560" w:lineRule="exact"/>
        <w:rPr>
          <w:rFonts w:hint="eastAsia" w:ascii="仿宋_GB2312" w:hAnsi="仿宋" w:cs="仿宋"/>
        </w:rPr>
      </w:pPr>
    </w:p>
    <w:p>
      <w:pPr>
        <w:spacing w:line="560" w:lineRule="exact"/>
        <w:rPr>
          <w:rFonts w:hint="eastAsia" w:ascii="仿宋_GB2312" w:hAnsi="仿宋" w:cs="仿宋"/>
        </w:rPr>
      </w:pPr>
    </w:p>
    <w:p>
      <w:pPr>
        <w:spacing w:line="560" w:lineRule="exact"/>
        <w:rPr>
          <w:rFonts w:hint="eastAsia" w:ascii="仿宋_GB2312" w:hAnsi="仿宋" w:cs="仿宋"/>
        </w:rPr>
      </w:pPr>
    </w:p>
    <w:p>
      <w:pPr>
        <w:spacing w:line="560" w:lineRule="exact"/>
        <w:rPr>
          <w:rFonts w:hint="eastAsia" w:ascii="仿宋_GB2312" w:hAnsi="仿宋" w:cs="仿宋"/>
        </w:rPr>
      </w:pPr>
    </w:p>
    <w:p>
      <w:pPr>
        <w:spacing w:line="560" w:lineRule="exact"/>
        <w:rPr>
          <w:rFonts w:hint="eastAsia" w:ascii="仿宋_GB2312" w:hAnsi="仿宋" w:cs="仿宋"/>
        </w:rPr>
        <w:sectPr>
          <w:pgSz w:w="11906" w:h="16838"/>
          <w:pgMar w:top="2098" w:right="1474" w:bottom="2098" w:left="1588" w:header="170" w:footer="1304" w:gutter="0"/>
          <w:cols w:space="720" w:num="1"/>
          <w:docGrid w:type="lines" w:linePitch="43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B1922"/>
    <w:rsid w:val="047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2020-11-10T08:04:00Z</dcterms:created>
  <dc:creator>123</dc:creator>
  <cp:lastModifiedBy>123</cp:lastModifiedBy>
  <dcterms:modified xsi:type="dcterms:W3CDTF">2020-11-10T08:04:52Z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