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bookmarkStart w:id="0" w:name="_GoBack"/>
      <w:bookmarkEnd w:id="0"/>
      <w:r>
        <w:rPr>
          <w:rFonts w:ascii="黑体" w:hAnsi="黑体" w:eastAsia="黑体"/>
          <w:sz w:val="32"/>
          <w:szCs w:val="32"/>
        </w:rPr>
        <w:t>附件</w:t>
      </w:r>
      <w:r>
        <w:rPr>
          <w:rFonts w:hint="eastAsia" w:ascii="黑体" w:hAnsi="黑体" w:eastAsia="黑体"/>
          <w:sz w:val="32"/>
          <w:szCs w:val="32"/>
        </w:rPr>
        <w:t>3</w:t>
      </w:r>
    </w:p>
    <w:p>
      <w:pPr>
        <w:spacing w:line="600" w:lineRule="exact"/>
        <w:rPr>
          <w:rFonts w:hint="eastAsia" w:ascii="仿宋_GB2312" w:eastAsia="仿宋_GB2312"/>
          <w:sz w:val="32"/>
          <w:szCs w:val="32"/>
        </w:rPr>
      </w:pPr>
    </w:p>
    <w:p>
      <w:pPr>
        <w:spacing w:line="600" w:lineRule="exact"/>
        <w:jc w:val="center"/>
        <w:rPr>
          <w:rFonts w:hint="eastAsia" w:ascii="方正小标宋简体" w:eastAsia="方正小标宋简体"/>
          <w:b/>
          <w:sz w:val="44"/>
          <w:szCs w:val="44"/>
        </w:rPr>
      </w:pPr>
      <w:r>
        <w:rPr>
          <w:rFonts w:hint="eastAsia" w:ascii="方正小标宋简体" w:eastAsia="方正小标宋简体"/>
          <w:b/>
          <w:sz w:val="44"/>
          <w:szCs w:val="44"/>
        </w:rPr>
        <w:t>应试者体能测评须知</w:t>
      </w:r>
    </w:p>
    <w:p>
      <w:pPr>
        <w:spacing w:line="500" w:lineRule="exact"/>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一、参加体能测评的人员必须本人在规定时间到指定的地点报到并按要求参加体能测评。不得由他人代替。凡在规定时间没有报到的，按主动放弃处理。</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二、参加体能测评的人员报到时须持</w:t>
      </w:r>
      <w:r>
        <w:rPr>
          <w:rFonts w:hint="eastAsia" w:ascii="仿宋_GB2312" w:eastAsia="仿宋_GB2312"/>
          <w:b/>
          <w:sz w:val="28"/>
          <w:szCs w:val="28"/>
        </w:rPr>
        <w:t>本人有效身份证、笔试准考证和《面试通知单</w:t>
      </w:r>
      <w:r>
        <w:rPr>
          <w:rFonts w:hint="eastAsia" w:ascii="仿宋_GB2312" w:eastAsia="仿宋_GB2312"/>
          <w:sz w:val="28"/>
          <w:szCs w:val="28"/>
        </w:rPr>
        <w:t>》，并提交</w:t>
      </w:r>
      <w:r>
        <w:rPr>
          <w:rFonts w:hint="eastAsia" w:ascii="仿宋_GB2312" w:eastAsia="仿宋_GB2312"/>
          <w:b/>
          <w:sz w:val="28"/>
          <w:szCs w:val="28"/>
        </w:rPr>
        <w:t>《应试者体能测评知情同意书》</w:t>
      </w:r>
      <w:r>
        <w:rPr>
          <w:rFonts w:hint="eastAsia" w:ascii="仿宋_GB2312" w:eastAsia="仿宋_GB2312"/>
          <w:sz w:val="28"/>
          <w:szCs w:val="28"/>
        </w:rPr>
        <w:t>，经工作人员核验后方可参加体能测评（缺一不得进入体能测评现场）。</w:t>
      </w:r>
    </w:p>
    <w:p>
      <w:pPr>
        <w:pStyle w:val="5"/>
        <w:shd w:val="clear" w:color="auto" w:fill="FFFFFF"/>
        <w:spacing w:before="0" w:beforeAutospacing="0" w:after="0" w:afterAutospacing="0" w:line="500" w:lineRule="exact"/>
        <w:ind w:firstLine="560" w:firstLineChars="200"/>
        <w:jc w:val="both"/>
        <w:rPr>
          <w:rFonts w:hint="eastAsia" w:ascii="仿宋_GB2312" w:eastAsia="仿宋_GB2312"/>
          <w:color w:val="333333"/>
          <w:sz w:val="28"/>
          <w:szCs w:val="28"/>
          <w:shd w:val="clear" w:color="auto" w:fill="FFFFFF"/>
        </w:rPr>
      </w:pPr>
      <w:r>
        <w:rPr>
          <w:rFonts w:hint="eastAsia" w:ascii="仿宋_GB2312" w:eastAsia="仿宋_GB2312"/>
          <w:sz w:val="28"/>
          <w:szCs w:val="28"/>
        </w:rPr>
        <w:t>三、</w:t>
      </w:r>
      <w:r>
        <w:rPr>
          <w:rFonts w:hint="eastAsia" w:ascii="仿宋_GB2312" w:eastAsia="仿宋_GB2312"/>
          <w:color w:val="333333"/>
          <w:sz w:val="28"/>
          <w:szCs w:val="28"/>
          <w:shd w:val="clear" w:color="auto" w:fill="FFFFFF"/>
        </w:rPr>
        <w:t>体能测评工作按照《关于印发公安机关录用人民警察体能测评项目和标准（暂行）的通知》等规定实施。体能测评项目为男子组10米×4往返跑、1000米跑、纵跳摸高，女子组10米×4往返跑、800米跑、纵跳摸高，凡其中一项不达标的，视为体能测评不合格。体能测评不合格的，不得参加体检。体能测评项目和标准如下：</w:t>
      </w:r>
    </w:p>
    <w:p>
      <w:pPr>
        <w:pStyle w:val="5"/>
        <w:shd w:val="clear" w:color="auto" w:fill="FFFFFF"/>
        <w:spacing w:before="0" w:beforeAutospacing="0" w:after="0" w:afterAutospacing="0" w:line="560" w:lineRule="exact"/>
        <w:ind w:firstLine="562" w:firstLineChars="200"/>
        <w:jc w:val="both"/>
        <w:rPr>
          <w:rFonts w:hint="eastAsia" w:ascii="仿宋_GB2312" w:eastAsia="仿宋_GB2312"/>
          <w:b/>
          <w:color w:val="333333"/>
          <w:sz w:val="28"/>
          <w:szCs w:val="28"/>
          <w:shd w:val="clear" w:color="auto" w:fill="FFFFFF"/>
        </w:rPr>
      </w:pPr>
      <w:r>
        <w:rPr>
          <w:rFonts w:hint="eastAsia" w:ascii="仿宋_GB2312" w:eastAsia="仿宋_GB2312"/>
          <w:b/>
          <w:color w:val="333333"/>
          <w:sz w:val="28"/>
          <w:szCs w:val="28"/>
          <w:shd w:val="clear" w:color="auto" w:fill="FFFFFF"/>
        </w:rPr>
        <w:t>（一）男子组</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01"/>
        <w:gridCol w:w="3001"/>
        <w:gridCol w:w="30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01" w:type="dxa"/>
            <w:vMerge w:val="restart"/>
            <w:vAlign w:val="center"/>
          </w:tcPr>
          <w:p>
            <w:pPr>
              <w:pStyle w:val="5"/>
              <w:spacing w:before="0" w:beforeAutospacing="0" w:after="0" w:afterAutospacing="0" w:line="560" w:lineRule="exact"/>
              <w:jc w:val="center"/>
              <w:rPr>
                <w:rFonts w:hint="eastAsia" w:ascii="黑体" w:hAnsi="黑体" w:eastAsia="黑体"/>
                <w:color w:val="333333"/>
                <w:sz w:val="28"/>
                <w:szCs w:val="28"/>
                <w:shd w:val="clear" w:color="auto" w:fill="FFFFFF"/>
              </w:rPr>
            </w:pPr>
            <w:r>
              <w:rPr>
                <w:rFonts w:hint="eastAsia" w:ascii="黑体" w:hAnsi="黑体" w:eastAsia="黑体"/>
                <w:color w:val="333333"/>
                <w:sz w:val="28"/>
                <w:szCs w:val="28"/>
                <w:shd w:val="clear" w:color="auto" w:fill="FFFFFF"/>
              </w:rPr>
              <w:t>项  目</w:t>
            </w:r>
          </w:p>
        </w:tc>
        <w:tc>
          <w:tcPr>
            <w:tcW w:w="6002" w:type="dxa"/>
            <w:gridSpan w:val="2"/>
            <w:vAlign w:val="center"/>
          </w:tcPr>
          <w:p>
            <w:pPr>
              <w:pStyle w:val="5"/>
              <w:spacing w:before="0" w:beforeAutospacing="0" w:after="0" w:afterAutospacing="0" w:line="560" w:lineRule="exact"/>
              <w:jc w:val="center"/>
              <w:rPr>
                <w:rFonts w:hint="eastAsia" w:ascii="黑体" w:hAnsi="黑体" w:eastAsia="黑体"/>
                <w:color w:val="333333"/>
                <w:sz w:val="28"/>
                <w:szCs w:val="28"/>
                <w:shd w:val="clear" w:color="auto" w:fill="FFFFFF"/>
              </w:rPr>
            </w:pPr>
            <w:r>
              <w:rPr>
                <w:rFonts w:hint="eastAsia" w:ascii="黑体" w:hAnsi="黑体" w:eastAsia="黑体"/>
                <w:color w:val="333333"/>
                <w:sz w:val="28"/>
                <w:szCs w:val="28"/>
                <w:shd w:val="clear" w:color="auto" w:fill="FFFFFF"/>
              </w:rPr>
              <w:t>标  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01" w:type="dxa"/>
            <w:vMerge w:val="continue"/>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30岁（含）以下</w:t>
            </w: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31岁（含）以上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10米×4往返跑</w:t>
            </w: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≤13″1</w:t>
            </w: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≤13″4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1000米跑</w:t>
            </w: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≤4′25″</w:t>
            </w: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≤4′35″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纵跳摸高</w:t>
            </w:r>
          </w:p>
        </w:tc>
        <w:tc>
          <w:tcPr>
            <w:tcW w:w="6002" w:type="dxa"/>
            <w:gridSpan w:val="2"/>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≥265厘米</w:t>
            </w:r>
          </w:p>
        </w:tc>
      </w:tr>
    </w:tbl>
    <w:p>
      <w:pPr>
        <w:pStyle w:val="5"/>
        <w:shd w:val="clear" w:color="auto" w:fill="FFFFFF"/>
        <w:spacing w:before="0" w:beforeAutospacing="0" w:after="0" w:afterAutospacing="0" w:line="560" w:lineRule="exact"/>
        <w:ind w:firstLine="562" w:firstLineChars="200"/>
        <w:jc w:val="both"/>
        <w:rPr>
          <w:rFonts w:hint="eastAsia" w:ascii="仿宋_GB2312" w:eastAsia="仿宋_GB2312"/>
          <w:b/>
          <w:color w:val="333333"/>
          <w:sz w:val="28"/>
          <w:szCs w:val="28"/>
          <w:shd w:val="clear" w:color="auto" w:fill="FFFFFF"/>
        </w:rPr>
      </w:pPr>
      <w:r>
        <w:rPr>
          <w:rFonts w:hint="eastAsia" w:ascii="仿宋_GB2312" w:eastAsia="仿宋_GB2312"/>
          <w:b/>
          <w:color w:val="333333"/>
          <w:sz w:val="28"/>
          <w:szCs w:val="28"/>
          <w:shd w:val="clear" w:color="auto" w:fill="FFFFFF"/>
        </w:rPr>
        <w:t>（二）女子组</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01"/>
        <w:gridCol w:w="3001"/>
        <w:gridCol w:w="30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01" w:type="dxa"/>
            <w:vMerge w:val="restart"/>
            <w:vAlign w:val="center"/>
          </w:tcPr>
          <w:p>
            <w:pPr>
              <w:pStyle w:val="5"/>
              <w:spacing w:before="0" w:beforeAutospacing="0" w:after="0" w:afterAutospacing="0" w:line="560" w:lineRule="exact"/>
              <w:jc w:val="center"/>
              <w:rPr>
                <w:rFonts w:hint="eastAsia" w:ascii="黑体" w:hAnsi="黑体" w:eastAsia="黑体"/>
                <w:color w:val="333333"/>
                <w:sz w:val="28"/>
                <w:szCs w:val="28"/>
                <w:shd w:val="clear" w:color="auto" w:fill="FFFFFF"/>
              </w:rPr>
            </w:pPr>
            <w:r>
              <w:rPr>
                <w:rFonts w:hint="eastAsia" w:ascii="黑体" w:hAnsi="黑体" w:eastAsia="黑体"/>
                <w:color w:val="333333"/>
                <w:sz w:val="28"/>
                <w:szCs w:val="28"/>
                <w:shd w:val="clear" w:color="auto" w:fill="FFFFFF"/>
              </w:rPr>
              <w:t>项  目</w:t>
            </w:r>
          </w:p>
        </w:tc>
        <w:tc>
          <w:tcPr>
            <w:tcW w:w="6002" w:type="dxa"/>
            <w:gridSpan w:val="2"/>
            <w:vAlign w:val="center"/>
          </w:tcPr>
          <w:p>
            <w:pPr>
              <w:pStyle w:val="5"/>
              <w:spacing w:before="0" w:beforeAutospacing="0" w:after="0" w:afterAutospacing="0" w:line="560" w:lineRule="exact"/>
              <w:jc w:val="center"/>
              <w:rPr>
                <w:rFonts w:hint="eastAsia" w:ascii="黑体" w:hAnsi="黑体" w:eastAsia="黑体"/>
                <w:color w:val="333333"/>
                <w:sz w:val="28"/>
                <w:szCs w:val="28"/>
                <w:shd w:val="clear" w:color="auto" w:fill="FFFFFF"/>
              </w:rPr>
            </w:pPr>
            <w:r>
              <w:rPr>
                <w:rFonts w:hint="eastAsia" w:ascii="黑体" w:hAnsi="黑体" w:eastAsia="黑体"/>
                <w:color w:val="333333"/>
                <w:sz w:val="28"/>
                <w:szCs w:val="28"/>
                <w:shd w:val="clear" w:color="auto" w:fill="FFFFFF"/>
              </w:rPr>
              <w:t>标  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01" w:type="dxa"/>
            <w:vMerge w:val="continue"/>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30岁（含）以下</w:t>
            </w: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31岁（含）以上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10米×4往返跑</w:t>
            </w: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≤14″1</w:t>
            </w: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≤14″4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800米跑</w:t>
            </w: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≤4′20″</w:t>
            </w:r>
          </w:p>
        </w:tc>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≤4′30″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01" w:type="dxa"/>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纵跳摸高</w:t>
            </w:r>
          </w:p>
        </w:tc>
        <w:tc>
          <w:tcPr>
            <w:tcW w:w="6002" w:type="dxa"/>
            <w:gridSpan w:val="2"/>
            <w:vAlign w:val="center"/>
          </w:tcPr>
          <w:p>
            <w:pPr>
              <w:pStyle w:val="5"/>
              <w:spacing w:before="0" w:beforeAutospacing="0" w:after="0" w:afterAutospacing="0" w:line="560" w:lineRule="exact"/>
              <w:jc w:val="center"/>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≥230厘米</w:t>
            </w:r>
          </w:p>
        </w:tc>
      </w:tr>
    </w:tbl>
    <w:p>
      <w:pPr>
        <w:pStyle w:val="5"/>
        <w:shd w:val="clear" w:color="auto" w:fill="FFFFFF"/>
        <w:spacing w:before="0" w:beforeAutospacing="0" w:after="0" w:afterAutospacing="0" w:line="500" w:lineRule="exact"/>
        <w:ind w:firstLine="560" w:firstLineChars="200"/>
        <w:jc w:val="both"/>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四、体能测评测试方法及注意事项。</w:t>
      </w:r>
    </w:p>
    <w:p>
      <w:pPr>
        <w:pStyle w:val="5"/>
        <w:shd w:val="clear" w:color="auto" w:fill="FFFFFF"/>
        <w:spacing w:before="0" w:beforeAutospacing="0" w:after="0" w:afterAutospacing="0" w:line="500" w:lineRule="exact"/>
        <w:ind w:firstLine="560" w:firstLineChars="200"/>
        <w:jc w:val="both"/>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（一）10米×4往返跑</w:t>
      </w:r>
    </w:p>
    <w:p>
      <w:pPr>
        <w:pStyle w:val="5"/>
        <w:shd w:val="clear" w:color="auto" w:fill="FFFFFF"/>
        <w:spacing w:before="0" w:beforeAutospacing="0" w:after="0" w:afterAutospacing="0" w:line="500" w:lineRule="exact"/>
        <w:ind w:firstLine="560" w:firstLineChars="200"/>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 xml:space="preserve">测试方法：受测者用站立式起跑，听到发令后从S1线外起跑，当跑到S2线前面，用一只手拿起一木块随即往回跑，跑到S1线前时交换木块，再跑回S2交换另一木块，最后持木块冲出S1线，记录跑完全程的时间。记录以秒为单位，取一位小数，第二位小数非“0”时则进1。  </w:t>
      </w:r>
    </w:p>
    <w:p>
      <w:pPr>
        <w:pStyle w:val="5"/>
        <w:shd w:val="clear" w:color="auto" w:fill="FFFFFF"/>
        <w:spacing w:before="0" w:beforeAutospacing="0" w:after="0" w:afterAutospacing="0" w:line="500" w:lineRule="exact"/>
        <w:ind w:firstLine="560" w:firstLineChars="200"/>
        <w:jc w:val="center"/>
        <w:rPr>
          <w:rFonts w:hint="eastAsia" w:eastAsia="黑体"/>
          <w:color w:val="3F3F3F"/>
          <w:sz w:val="28"/>
          <w:szCs w:val="28"/>
        </w:rPr>
      </w:pPr>
      <w:r>
        <w:rPr>
          <w:rFonts w:hint="eastAsia" w:ascii="仿宋_GB2312" w:eastAsia="仿宋_GB2312"/>
          <w:color w:val="333333"/>
          <w:sz w:val="28"/>
          <w:szCs w:val="28"/>
          <w:shd w:val="clear" w:color="auto" w:fill="FFFFFF"/>
        </w:rPr>
        <w:t>注意事项：当受测者取放木块时，脚不要越过S1和S2线。</w:t>
      </w:r>
      <w:r>
        <w:rPr>
          <w:rFonts w:eastAsia="黑体"/>
          <w:color w:val="3F3F3F"/>
          <w:sz w:val="28"/>
          <w:szCs w:val="28"/>
        </w:rPr>
        <w:t>10</w:t>
      </w:r>
      <w:r>
        <w:rPr>
          <w:rFonts w:hint="eastAsia" w:eastAsia="黑体"/>
          <w:color w:val="3F3F3F"/>
          <w:sz w:val="28"/>
          <w:szCs w:val="28"/>
        </w:rPr>
        <w:t>米</w:t>
      </w:r>
      <w:r>
        <w:rPr>
          <w:rFonts w:eastAsia="黑体"/>
          <w:color w:val="3F3F3F"/>
          <w:sz w:val="28"/>
          <w:szCs w:val="28"/>
        </w:rPr>
        <w:t>×4</w:t>
      </w:r>
      <w:r>
        <w:rPr>
          <w:rFonts w:hint="eastAsia" w:eastAsia="黑体"/>
          <w:color w:val="3F3F3F"/>
          <w:sz w:val="28"/>
          <w:szCs w:val="28"/>
        </w:rPr>
        <w:t>往返跑测试场地图例</w:t>
      </w:r>
    </w:p>
    <w:p>
      <w:pPr>
        <w:pStyle w:val="5"/>
        <w:shd w:val="clear" w:color="auto" w:fill="FFFFFF"/>
        <w:spacing w:before="0" w:beforeAutospacing="0" w:after="0" w:afterAutospacing="0" w:line="560" w:lineRule="exact"/>
        <w:ind w:firstLine="640" w:firstLineChars="200"/>
        <w:jc w:val="center"/>
        <w:rPr>
          <w:rFonts w:hint="eastAsia" w:ascii="仿宋_GB2312" w:eastAsia="仿宋_GB2312"/>
          <w:color w:val="333333"/>
          <w:sz w:val="32"/>
          <w:szCs w:val="32"/>
          <w:shd w:val="clear" w:color="auto" w:fill="FFFFFF"/>
        </w:rPr>
      </w:pPr>
    </w:p>
    <w:tbl>
      <w:tblPr>
        <w:tblStyle w:val="6"/>
        <w:tblW w:w="4803" w:type="dxa"/>
        <w:jc w:val="center"/>
        <w:tblLayout w:type="autofit"/>
        <w:tblCellMar>
          <w:top w:w="0" w:type="dxa"/>
          <w:left w:w="108" w:type="dxa"/>
          <w:bottom w:w="0" w:type="dxa"/>
          <w:right w:w="108" w:type="dxa"/>
        </w:tblCellMar>
      </w:tblPr>
      <w:tblGrid>
        <w:gridCol w:w="1009"/>
        <w:gridCol w:w="2837"/>
        <w:gridCol w:w="957"/>
      </w:tblGrid>
      <w:tr>
        <w:tblPrEx>
          <w:tblCellMar>
            <w:top w:w="0" w:type="dxa"/>
            <w:left w:w="108" w:type="dxa"/>
            <w:bottom w:w="0" w:type="dxa"/>
            <w:right w:w="108" w:type="dxa"/>
          </w:tblCellMar>
        </w:tblPrEx>
        <w:trPr>
          <w:trHeight w:val="285" w:hRule="atLeast"/>
          <w:jc w:val="center"/>
        </w:trPr>
        <w:tc>
          <w:tcPr>
            <w:tcW w:w="1009" w:type="dxa"/>
            <w:tcBorders>
              <w:top w:val="nil"/>
              <w:left w:val="single" w:color="auto" w:sz="4" w:space="0"/>
              <w:bottom w:val="nil"/>
              <w:right w:val="nil"/>
            </w:tcBorders>
            <w:shd w:val="clear" w:color="auto" w:fill="auto"/>
            <w:noWrap/>
            <w:vAlign w:val="center"/>
          </w:tcPr>
          <w:p>
            <w:pPr>
              <w:widowControl/>
              <w:jc w:val="center"/>
              <w:rPr>
                <w:rFonts w:ascii="宋体" w:hAnsi="宋体" w:eastAsia="仿宋_GB2312" w:cs="宋体"/>
                <w:color w:val="3F3F3F"/>
                <w:kern w:val="0"/>
                <w:szCs w:val="21"/>
              </w:rPr>
            </w:pPr>
            <w:r>
              <w:rPr>
                <w:rFonts w:hint="eastAsia" w:ascii="宋体" w:hAnsi="宋体" w:eastAsia="仿宋_GB2312" w:cs="宋体"/>
                <w:color w:val="3F3F3F"/>
                <w:kern w:val="0"/>
                <w:szCs w:val="21"/>
              </w:rPr>
              <w:t>S1</w:t>
            </w:r>
          </w:p>
        </w:tc>
        <w:tc>
          <w:tcPr>
            <w:tcW w:w="2837"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c>
          <w:tcPr>
            <w:tcW w:w="957"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仿宋_GB2312" w:cs="宋体"/>
                <w:color w:val="3F3F3F"/>
                <w:kern w:val="0"/>
                <w:szCs w:val="21"/>
              </w:rPr>
            </w:pPr>
            <w:r>
              <w:rPr>
                <w:rFonts w:hint="eastAsia" w:ascii="宋体" w:hAnsi="宋体" w:eastAsia="仿宋_GB2312" w:cs="宋体"/>
                <w:color w:val="3F3F3F"/>
                <w:kern w:val="0"/>
                <w:szCs w:val="21"/>
              </w:rPr>
              <w:t>S2</w:t>
            </w:r>
          </w:p>
        </w:tc>
      </w:tr>
      <w:tr>
        <w:tblPrEx>
          <w:tblCellMar>
            <w:top w:w="0" w:type="dxa"/>
            <w:left w:w="108" w:type="dxa"/>
            <w:bottom w:w="0" w:type="dxa"/>
            <w:right w:w="108" w:type="dxa"/>
          </w:tblCellMar>
        </w:tblPrEx>
        <w:trPr>
          <w:trHeight w:val="285" w:hRule="atLeast"/>
          <w:jc w:val="center"/>
        </w:trPr>
        <w:tc>
          <w:tcPr>
            <w:tcW w:w="1009" w:type="dxa"/>
            <w:tcBorders>
              <w:top w:val="nil"/>
              <w:left w:val="single" w:color="auto" w:sz="4" w:space="0"/>
              <w:bottom w:val="nil"/>
              <w:right w:val="nil"/>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c>
          <w:tcPr>
            <w:tcW w:w="2837"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c>
          <w:tcPr>
            <w:tcW w:w="957" w:type="dxa"/>
            <w:tcBorders>
              <w:top w:val="nil"/>
              <w:left w:val="single" w:color="auto" w:sz="4" w:space="0"/>
              <w:bottom w:val="nil"/>
              <w:right w:val="single" w:color="auto" w:sz="4" w:space="0"/>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r>
      <w:tr>
        <w:tblPrEx>
          <w:tblCellMar>
            <w:top w:w="0" w:type="dxa"/>
            <w:left w:w="108" w:type="dxa"/>
            <w:bottom w:w="0" w:type="dxa"/>
            <w:right w:w="108" w:type="dxa"/>
          </w:tblCellMar>
        </w:tblPrEx>
        <w:trPr>
          <w:trHeight w:val="285" w:hRule="atLeast"/>
          <w:jc w:val="center"/>
        </w:trPr>
        <w:tc>
          <w:tcPr>
            <w:tcW w:w="1009" w:type="dxa"/>
            <w:tcBorders>
              <w:top w:val="nil"/>
              <w:left w:val="single" w:color="auto" w:sz="4" w:space="0"/>
              <w:bottom w:val="nil"/>
              <w:right w:val="nil"/>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c>
          <w:tcPr>
            <w:tcW w:w="2837"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c>
          <w:tcPr>
            <w:tcW w:w="957" w:type="dxa"/>
            <w:tcBorders>
              <w:top w:val="nil"/>
              <w:left w:val="single" w:color="auto" w:sz="4" w:space="0"/>
              <w:bottom w:val="nil"/>
              <w:right w:val="single" w:color="auto" w:sz="4" w:space="0"/>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r>
      <w:tr>
        <w:tblPrEx>
          <w:tblCellMar>
            <w:top w:w="0" w:type="dxa"/>
            <w:left w:w="108" w:type="dxa"/>
            <w:bottom w:w="0" w:type="dxa"/>
            <w:right w:w="108" w:type="dxa"/>
          </w:tblCellMar>
        </w:tblPrEx>
        <w:trPr>
          <w:trHeight w:val="285" w:hRule="atLeast"/>
          <w:jc w:val="center"/>
        </w:trPr>
        <w:tc>
          <w:tcPr>
            <w:tcW w:w="1009" w:type="dxa"/>
            <w:tcBorders>
              <w:top w:val="nil"/>
              <w:left w:val="single" w:color="auto" w:sz="4" w:space="0"/>
              <w:bottom w:val="nil"/>
              <w:right w:val="nil"/>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c>
          <w:tcPr>
            <w:tcW w:w="2837"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c>
          <w:tcPr>
            <w:tcW w:w="957" w:type="dxa"/>
            <w:tcBorders>
              <w:top w:val="nil"/>
              <w:left w:val="single" w:color="auto" w:sz="4" w:space="0"/>
              <w:bottom w:val="nil"/>
              <w:right w:val="single" w:color="auto" w:sz="4" w:space="0"/>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r>
      <w:tr>
        <w:tblPrEx>
          <w:tblCellMar>
            <w:top w:w="0" w:type="dxa"/>
            <w:left w:w="108" w:type="dxa"/>
            <w:bottom w:w="0" w:type="dxa"/>
            <w:right w:w="108" w:type="dxa"/>
          </w:tblCellMar>
        </w:tblPrEx>
        <w:trPr>
          <w:trHeight w:val="285" w:hRule="atLeast"/>
          <w:jc w:val="center"/>
        </w:trPr>
        <w:tc>
          <w:tcPr>
            <w:tcW w:w="1009" w:type="dxa"/>
            <w:tcBorders>
              <w:top w:val="nil"/>
              <w:left w:val="single" w:color="auto" w:sz="4" w:space="0"/>
              <w:bottom w:val="nil"/>
              <w:right w:val="nil"/>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c>
          <w:tcPr>
            <w:tcW w:w="28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c>
          <w:tcPr>
            <w:tcW w:w="957" w:type="dxa"/>
            <w:tcBorders>
              <w:top w:val="nil"/>
              <w:left w:val="nil"/>
              <w:bottom w:val="nil"/>
              <w:right w:val="single" w:color="auto" w:sz="4" w:space="0"/>
            </w:tcBorders>
            <w:shd w:val="clear" w:color="auto" w:fill="auto"/>
            <w:noWrap/>
            <w:vAlign w:val="center"/>
          </w:tcPr>
          <w:p>
            <w:pPr>
              <w:widowControl/>
              <w:spacing w:line="200" w:lineRule="exact"/>
              <w:jc w:val="center"/>
              <w:rPr>
                <w:rFonts w:ascii="宋体" w:hAnsi="宋体" w:eastAsia="仿宋_GB2312" w:cs="宋体"/>
                <w:color w:val="3F3F3F"/>
                <w:kern w:val="0"/>
                <w:szCs w:val="21"/>
              </w:rPr>
            </w:pPr>
            <w:r>
              <w:rPr>
                <w:rFonts w:hint="eastAsia" w:ascii="宋体" w:hAnsi="宋体" w:eastAsia="仿宋_GB2312" w:cs="宋体"/>
                <w:color w:val="3F3F3F"/>
                <w:kern w:val="0"/>
                <w:szCs w:val="21"/>
              </w:rPr>
              <w:t>←→</w:t>
            </w:r>
          </w:p>
        </w:tc>
      </w:tr>
      <w:tr>
        <w:tblPrEx>
          <w:tblCellMar>
            <w:top w:w="0" w:type="dxa"/>
            <w:left w:w="108" w:type="dxa"/>
            <w:bottom w:w="0" w:type="dxa"/>
            <w:right w:w="108" w:type="dxa"/>
          </w:tblCellMar>
        </w:tblPrEx>
        <w:trPr>
          <w:trHeight w:val="285" w:hRule="atLeast"/>
          <w:jc w:val="center"/>
        </w:trPr>
        <w:tc>
          <w:tcPr>
            <w:tcW w:w="1009" w:type="dxa"/>
            <w:tcBorders>
              <w:top w:val="nil"/>
              <w:left w:val="single" w:color="auto" w:sz="4" w:space="0"/>
              <w:bottom w:val="nil"/>
              <w:right w:val="nil"/>
            </w:tcBorders>
            <w:shd w:val="clear" w:color="auto" w:fill="auto"/>
            <w:noWrap/>
            <w:vAlign w:val="center"/>
          </w:tcPr>
          <w:p>
            <w:pPr>
              <w:widowControl/>
              <w:jc w:val="left"/>
              <w:rPr>
                <w:rFonts w:ascii="宋体" w:hAnsi="宋体" w:eastAsia="仿宋_GB2312" w:cs="宋体"/>
                <w:color w:val="3F3F3F"/>
                <w:kern w:val="0"/>
                <w:sz w:val="32"/>
                <w:szCs w:val="32"/>
              </w:rPr>
            </w:pPr>
            <w:r>
              <w:rPr>
                <w:rFonts w:hint="eastAsia" w:ascii="宋体" w:hAnsi="宋体" w:eastAsia="仿宋_GB2312" w:cs="宋体"/>
                <w:color w:val="3F3F3F"/>
                <w:kern w:val="0"/>
                <w:sz w:val="32"/>
                <w:szCs w:val="32"/>
              </w:rPr>
              <w:t>　</w:t>
            </w:r>
          </w:p>
        </w:tc>
        <w:tc>
          <w:tcPr>
            <w:tcW w:w="2837" w:type="dxa"/>
            <w:tcBorders>
              <w:top w:val="nil"/>
              <w:left w:val="single" w:color="auto" w:sz="4" w:space="0"/>
              <w:bottom w:val="nil"/>
              <w:right w:val="single" w:color="auto" w:sz="4" w:space="0"/>
            </w:tcBorders>
            <w:shd w:val="clear" w:color="auto" w:fill="auto"/>
            <w:noWrap/>
            <w:vAlign w:val="center"/>
          </w:tcPr>
          <w:p>
            <w:pPr>
              <w:widowControl/>
              <w:ind w:left="420" w:hanging="420" w:hangingChars="200"/>
              <w:jc w:val="center"/>
              <w:rPr>
                <w:rFonts w:ascii="仿宋_GB2312" w:hAnsi="宋体" w:eastAsia="仿宋_GB2312" w:cs="宋体"/>
                <w:color w:val="3F3F3F"/>
                <w:kern w:val="0"/>
                <w:szCs w:val="21"/>
              </w:rPr>
            </w:pPr>
            <w:r>
              <w:rPr>
                <w:rFonts w:hint="eastAsia" w:ascii="仿宋_GB2312" w:hAnsi="宋体" w:eastAsia="仿宋_GB2312" w:cs="宋体"/>
                <w:color w:val="3F3F3F"/>
                <w:kern w:val="0"/>
                <w:szCs w:val="21"/>
              </w:rPr>
              <w:t>← 10米 →</w:t>
            </w:r>
          </w:p>
        </w:tc>
        <w:tc>
          <w:tcPr>
            <w:tcW w:w="957" w:type="dxa"/>
            <w:tcBorders>
              <w:top w:val="nil"/>
              <w:left w:val="nil"/>
              <w:bottom w:val="nil"/>
              <w:right w:val="single" w:color="auto" w:sz="4" w:space="0"/>
            </w:tcBorders>
            <w:shd w:val="clear" w:color="auto" w:fill="auto"/>
            <w:noWrap/>
            <w:vAlign w:val="center"/>
          </w:tcPr>
          <w:p>
            <w:pPr>
              <w:widowControl/>
              <w:spacing w:line="320" w:lineRule="exact"/>
              <w:jc w:val="center"/>
              <w:rPr>
                <w:rFonts w:ascii="宋体" w:hAnsi="宋体" w:cs="宋体"/>
                <w:color w:val="3F3F3F"/>
                <w:kern w:val="0"/>
                <w:szCs w:val="21"/>
              </w:rPr>
            </w:pPr>
            <w:r>
              <w:rPr>
                <w:rFonts w:ascii="仿宋_GB2312" w:hAnsi="宋体" w:eastAsia="仿宋_GB2312" w:cs="宋体"/>
                <w:color w:val="3F3F3F"/>
                <w:kern w:val="0"/>
                <w:szCs w:val="21"/>
              </w:rPr>
              <w:t>30</w:t>
            </w:r>
            <w:r>
              <w:rPr>
                <w:rFonts w:hint="eastAsia" w:ascii="仿宋_GB2312" w:hAnsi="宋体" w:eastAsia="仿宋_GB2312" w:cs="宋体"/>
                <w:color w:val="3F3F3F"/>
                <w:kern w:val="0"/>
                <w:szCs w:val="21"/>
              </w:rPr>
              <w:t>厘米</w:t>
            </w:r>
          </w:p>
        </w:tc>
      </w:tr>
    </w:tbl>
    <w:p>
      <w:pPr>
        <w:pStyle w:val="5"/>
        <w:shd w:val="clear" w:color="auto" w:fill="FFFFFF"/>
        <w:spacing w:before="0" w:beforeAutospacing="0" w:after="0" w:afterAutospacing="0" w:line="500" w:lineRule="exact"/>
        <w:ind w:firstLine="630"/>
        <w:jc w:val="both"/>
        <w:rPr>
          <w:rFonts w:hint="eastAsia" w:ascii="仿宋_GB2312" w:eastAsia="仿宋_GB2312"/>
          <w:color w:val="333333"/>
          <w:sz w:val="28"/>
          <w:szCs w:val="28"/>
          <w:shd w:val="clear" w:color="auto" w:fill="FFFFFF"/>
        </w:rPr>
      </w:pPr>
    </w:p>
    <w:p>
      <w:pPr>
        <w:pStyle w:val="5"/>
        <w:shd w:val="clear" w:color="auto" w:fill="FFFFFF"/>
        <w:spacing w:before="0" w:beforeAutospacing="0" w:after="0" w:afterAutospacing="0" w:line="500" w:lineRule="exact"/>
        <w:ind w:firstLine="630"/>
        <w:jc w:val="both"/>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（二）男子1000米跑、女子800米跑</w:t>
      </w:r>
    </w:p>
    <w:p>
      <w:pPr>
        <w:pStyle w:val="5"/>
        <w:shd w:val="clear" w:color="auto" w:fill="FFFFFF"/>
        <w:spacing w:before="0" w:beforeAutospacing="0" w:after="0" w:afterAutospacing="0" w:line="500" w:lineRule="exact"/>
        <w:ind w:firstLine="630"/>
        <w:jc w:val="both"/>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测试方法：受测者分组测，每组不得少于2人，用站立式起跑。当听到口令或哨音后开始起跑。当受测者到达终点时停表，终点记录员负责登记每人成绩，登记成绩以分、秒为单位，不计小数。</w:t>
      </w:r>
    </w:p>
    <w:p>
      <w:pPr>
        <w:pStyle w:val="5"/>
        <w:shd w:val="clear" w:color="auto" w:fill="FFFFFF"/>
        <w:spacing w:before="0" w:beforeAutospacing="0" w:after="0" w:afterAutospacing="0" w:line="500" w:lineRule="exact"/>
        <w:ind w:firstLine="630"/>
        <w:jc w:val="both"/>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（三）纵跳摸高</w:t>
      </w:r>
    </w:p>
    <w:p>
      <w:pPr>
        <w:pStyle w:val="5"/>
        <w:shd w:val="clear" w:color="auto" w:fill="FFFFFF"/>
        <w:spacing w:before="0" w:beforeAutospacing="0" w:after="0" w:afterAutospacing="0" w:line="500" w:lineRule="exact"/>
        <w:ind w:firstLine="560" w:firstLineChars="200"/>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测试方法：准备测试阶段，受测者双脚自然分开，呈站立姿势。接到指令后，受测者屈腿半蹲，双臂尽力后摆，然后向前上方快速摆臂，双腿同时发力，尽力垂直向上起跳，同时单手举起触摸固定的高度线或者自动摸高器的测试条，触摸到高度线或者测试条的视为合格。测试不超过三次。</w:t>
      </w:r>
    </w:p>
    <w:p>
      <w:pPr>
        <w:pStyle w:val="5"/>
        <w:shd w:val="clear" w:color="auto" w:fill="FFFFFF"/>
        <w:spacing w:before="0" w:beforeAutospacing="0" w:after="0" w:afterAutospacing="0" w:line="500" w:lineRule="exact"/>
        <w:ind w:firstLine="560" w:firstLineChars="200"/>
        <w:jc w:val="both"/>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注意事项：（1）起跳时，受测者双腿不能移动或有垫步动作；（2）受测者指甲不得超过指尖0.3厘米；（3）受测者徒手触摸，不得带手套等其他物品；（4）受测者统一采用赤脚（可穿袜子）起跳，起跳处铺垫不超过2厘米的硬质无弹性垫子。</w:t>
      </w:r>
    </w:p>
    <w:p>
      <w:pPr>
        <w:pStyle w:val="5"/>
        <w:shd w:val="clear" w:color="auto" w:fill="FFFFFF"/>
        <w:spacing w:before="0" w:beforeAutospacing="0" w:after="0" w:afterAutospacing="0" w:line="500" w:lineRule="exact"/>
        <w:ind w:firstLine="560" w:firstLineChars="200"/>
        <w:jc w:val="both"/>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测评前，参加体能测评的人员须认真熟悉测评项目的规则、合格标准、注意事项和要求。年龄超过30周岁的在测评前应主动说明。</w:t>
      </w:r>
    </w:p>
    <w:p>
      <w:pPr>
        <w:pStyle w:val="5"/>
        <w:shd w:val="clear" w:color="auto" w:fill="FFFFFF"/>
        <w:spacing w:before="0" w:beforeAutospacing="0" w:after="0" w:afterAutospacing="0" w:line="500" w:lineRule="exact"/>
        <w:ind w:firstLine="560" w:firstLineChars="200"/>
        <w:jc w:val="both"/>
        <w:rPr>
          <w:rFonts w:hint="eastAsia" w:ascii="仿宋_GB2312" w:eastAsia="仿宋_GB2312"/>
          <w:color w:val="333333"/>
          <w:sz w:val="28"/>
          <w:szCs w:val="28"/>
          <w:shd w:val="clear" w:color="auto" w:fill="FFFFFF"/>
        </w:rPr>
      </w:pPr>
      <w:r>
        <w:rPr>
          <w:rFonts w:hint="eastAsia" w:ascii="仿宋_GB2312" w:eastAsia="仿宋_GB2312"/>
          <w:color w:val="333333"/>
          <w:sz w:val="28"/>
          <w:szCs w:val="28"/>
          <w:shd w:val="clear" w:color="auto" w:fill="FFFFFF"/>
        </w:rPr>
        <w:t>五、参加体能测评的人员禁止携带和使用手机、智能手表（手环）等任何电子、通信设备和与体能测评无关的物品进入体能测评现场，已携带的须主动交工作人员保管，否则一经发现，按有关规定严肃处理。</w:t>
      </w:r>
    </w:p>
    <w:p>
      <w:pPr>
        <w:pStyle w:val="5"/>
        <w:shd w:val="clear" w:color="auto" w:fill="FFFFFF"/>
        <w:spacing w:before="0" w:beforeAutospacing="0" w:after="0" w:afterAutospacing="0" w:line="500" w:lineRule="exact"/>
        <w:ind w:firstLine="560" w:firstLineChars="200"/>
        <w:jc w:val="both"/>
        <w:rPr>
          <w:rFonts w:hint="eastAsia" w:ascii="仿宋_GB2312" w:hAnsi="仿宋" w:eastAsia="仿宋_GB2312"/>
          <w:color w:val="333333"/>
          <w:sz w:val="28"/>
          <w:szCs w:val="28"/>
        </w:rPr>
      </w:pPr>
      <w:r>
        <w:rPr>
          <w:rFonts w:hint="eastAsia" w:ascii="仿宋_GB2312" w:eastAsia="仿宋_GB2312"/>
          <w:color w:val="333333"/>
          <w:sz w:val="28"/>
          <w:szCs w:val="28"/>
          <w:shd w:val="clear" w:color="auto" w:fill="FFFFFF"/>
        </w:rPr>
        <w:t>六、体能测评实行集中封闭管理，参加体能测评的人员在体能测评期间须遵守纪律、听从指挥、服从管理，不得随意走动、大声喧哗、单独行动，禁止与外界和无关人员接触。</w:t>
      </w:r>
      <w:r>
        <w:rPr>
          <w:rFonts w:hint="eastAsia" w:ascii="仿宋_GB2312" w:hAnsi="仿宋" w:eastAsia="仿宋_GB2312"/>
          <w:color w:val="333333"/>
          <w:sz w:val="28"/>
          <w:szCs w:val="28"/>
        </w:rPr>
        <w:t>不按体能测规定执行或不听从现场工作人员的安排，影响测评秩序，造成测评工作无法进行的，将取消体能测评资格和进入体检的资格。扰乱体能测评秩序或涉嫌违纪违法的人员，视情节轻重，交有关部门按照法律法规处理。除参加体能测评的人员和工作人员外，其他人员一律禁止进入体能测评现场。</w:t>
      </w:r>
    </w:p>
    <w:p>
      <w:pPr>
        <w:spacing w:line="500" w:lineRule="exact"/>
        <w:ind w:firstLine="548" w:firstLineChars="196"/>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七、体能测评期间，对参加体能测评的人员实行编号管理，分男子组和女子组，通过抽签确定组别和顺序号。未经许可，参加体能测评的人员不得以任何形式透漏本人姓名、家庭情况等个人信息。</w:t>
      </w:r>
    </w:p>
    <w:p>
      <w:pPr>
        <w:spacing w:line="500" w:lineRule="exact"/>
        <w:ind w:firstLine="548" w:firstLineChars="196"/>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八、体能测评项目具有一定的危险性，可能会造成身体不适或损伤，请根据自己的身体情况决定是否参加体能测评。由于体能测评具有一定的运动负荷，身体可能会产生不良反应，测评前应保证充足的休息，请勿在熬夜、感冒、发烧、空腹以及其他身体不适的情况下参加有相当强度的体育锻炼和测试。测评前，参加体能测评的人员须严格遵守测评操作规程，提前做好充分准备和必要的准备活动，防止测评时肌肉拉伤等现象发生，并在测评时注意安全，在测评时不得以身体不适为由提出缓测。如因有心脏病等情况不适合参加测评的，应提前告知现场工作人员，以免发生意外；如因怀孕不能参加体能测评，请提前准备好县级以上医院出具的怀孕证明，在体能测评当日交工作人员，申请缓测；如身体不适，请慎重选择或适度掌握；如因身体原因不能参加体能测评（如受伤或其他不适宜剧烈运动的），视为放弃体能测评。否则，引起的一切不良后果和责任由参加体能测评的人员本人承担。若自愿放弃体能测评，将被取消体检资格。</w:t>
      </w:r>
    </w:p>
    <w:p>
      <w:pPr>
        <w:spacing w:line="500" w:lineRule="exact"/>
        <w:ind w:firstLine="548" w:firstLineChars="196"/>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九、每个测评项目结束后，裁判向参加体能测评的人员宣布测评结果（合格或不合格）。对测评结果不合格的，参加体能测评人员、裁判、监督员要进行签字确认。参加体能测评人员拒绝签字的，由裁判、监督员代签确认并注明。参加体能测评人员对自己</w:t>
      </w:r>
      <w:r>
        <w:rPr>
          <w:rFonts w:ascii="仿宋_GB2312" w:hAnsi="仿宋" w:eastAsia="仿宋_GB2312" w:cs="宋体"/>
          <w:color w:val="333333"/>
          <w:kern w:val="0"/>
          <w:sz w:val="28"/>
          <w:szCs w:val="28"/>
        </w:rPr>
        <w:t>或他人</w:t>
      </w:r>
      <w:r>
        <w:rPr>
          <w:rFonts w:hint="eastAsia" w:ascii="仿宋_GB2312" w:hAnsi="仿宋" w:eastAsia="仿宋_GB2312" w:cs="宋体"/>
          <w:color w:val="333333"/>
          <w:kern w:val="0"/>
          <w:sz w:val="28"/>
          <w:szCs w:val="28"/>
        </w:rPr>
        <w:t>的体能测评结果如有异议，须当场提出，离开本项目测评处后，再有异议的，不予受理。</w:t>
      </w:r>
    </w:p>
    <w:p>
      <w:pPr>
        <w:spacing w:line="500" w:lineRule="exact"/>
        <w:ind w:firstLine="548" w:firstLineChars="196"/>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十、参加体能测评的人员必须严格遵守测评规定和各项纪律要求，如有违反，视情节轻重给予警告直至宣布取消体能测评资格或宣布体能测评成绩无效。凡严重扰乱体能测评秩序、辱骂裁判及工作人员、威胁他人安全等，按照有关法律法规严肃处理。在体能测评过程中，查明有违纪违规和违法行为的，按照《刑法修正案（九）》和《公务员考试录用违纪违规行为处理办法》等法律法规，予以严肃处理和责任追究。构成犯罪的，依法追究刑事责任。对隐瞒真实情况、他人代替测评、弄虚作假和徇私舞弊、造成不良后果等违纪违规行为，取消录用资格，列入不诚信人员名单，作为今后公务员录用考察的一项重要参考，并依法严肃追究有关人员的责任。</w:t>
      </w:r>
    </w:p>
    <w:p>
      <w:pPr>
        <w:spacing w:line="500" w:lineRule="exact"/>
        <w:ind w:firstLine="548" w:firstLineChars="196"/>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十一、请参加体能测评的人员</w:t>
      </w:r>
      <w:r>
        <w:rPr>
          <w:rFonts w:ascii="仿宋_GB2312" w:hAnsi="仿宋" w:eastAsia="仿宋_GB2312" w:cs="宋体"/>
          <w:color w:val="333333"/>
          <w:kern w:val="0"/>
          <w:sz w:val="28"/>
          <w:szCs w:val="28"/>
        </w:rPr>
        <w:t>妥善保管并随身携带有关证件</w:t>
      </w:r>
      <w:r>
        <w:rPr>
          <w:rFonts w:hint="eastAsia" w:ascii="仿宋_GB2312" w:hAnsi="仿宋" w:eastAsia="仿宋_GB2312" w:cs="宋体"/>
          <w:color w:val="333333"/>
          <w:kern w:val="0"/>
          <w:sz w:val="28"/>
          <w:szCs w:val="28"/>
        </w:rPr>
        <w:t>，</w:t>
      </w:r>
      <w:r>
        <w:rPr>
          <w:rFonts w:ascii="仿宋_GB2312" w:hAnsi="仿宋" w:eastAsia="仿宋_GB2312" w:cs="宋体"/>
          <w:color w:val="333333"/>
          <w:kern w:val="0"/>
          <w:sz w:val="28"/>
          <w:szCs w:val="28"/>
        </w:rPr>
        <w:t>自备运动服、运动鞋等装备以及饮用水</w:t>
      </w:r>
      <w:r>
        <w:rPr>
          <w:rFonts w:hint="eastAsia" w:ascii="仿宋_GB2312" w:hAnsi="仿宋" w:eastAsia="仿宋_GB2312" w:cs="宋体"/>
          <w:color w:val="333333"/>
          <w:kern w:val="0"/>
          <w:sz w:val="28"/>
          <w:szCs w:val="28"/>
        </w:rPr>
        <w:t>。</w:t>
      </w:r>
    </w:p>
    <w:p>
      <w:pPr>
        <w:spacing w:line="500" w:lineRule="exact"/>
        <w:ind w:firstLine="548" w:firstLineChars="196"/>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十二、如因天气等原因导致体能测评受到较大影响的，将适时调整测评时间。</w:t>
      </w:r>
    </w:p>
    <w:p>
      <w:pPr>
        <w:spacing w:line="500" w:lineRule="exact"/>
        <w:ind w:firstLine="548" w:firstLineChars="196"/>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十三、参加体能测评的人员须严格遵守新冠肺炎疫情防控有关事项和防疫要求，做好自我健康管理和个人疫情防控措施。体能测评当天进入体能测评现场时，应主动出示防疫健康码并接受体温测量，防疫健康码为非绿码、体温异常及有呼吸道异常等症状，不能进入体能测评现场，体能测评延期进行。自备一次性使用医用口罩或医用外科口罩，体能测评期间全程佩戴（核验身份和体能测评时摘除口罩，结束后再佩戴好口罩）。因参加体能测评的人员个人疫情防控方面原因造成不能正常参加体能测评的责任和后果，由参加体能测评的人员本人承担。</w:t>
      </w:r>
    </w:p>
    <w:sectPr>
      <w:footerReference r:id="rId3" w:type="default"/>
      <w:pgSz w:w="11906" w:h="16838"/>
      <w:pgMar w:top="1871" w:right="1531"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74320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93"/>
    <w:rsid w:val="0000712E"/>
    <w:rsid w:val="0034201B"/>
    <w:rsid w:val="00505BC9"/>
    <w:rsid w:val="00521BFE"/>
    <w:rsid w:val="005D78B0"/>
    <w:rsid w:val="00807126"/>
    <w:rsid w:val="00823A71"/>
    <w:rsid w:val="008C0C49"/>
    <w:rsid w:val="009F3F51"/>
    <w:rsid w:val="009F792C"/>
    <w:rsid w:val="00C84137"/>
    <w:rsid w:val="00D07893"/>
    <w:rsid w:val="00DC7D27"/>
    <w:rsid w:val="00E0370B"/>
    <w:rsid w:val="00F337DE"/>
    <w:rsid w:val="23862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0"/>
    <w:rPr>
      <w:rFonts w:ascii="Times New Roman" w:hAnsi="Times New Roman" w:eastAsia="宋体" w:cs="Times New Roman"/>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批注框文本 Char"/>
    <w:basedOn w:val="8"/>
    <w:link w:val="2"/>
    <w:semiHidden/>
    <w:uiPriority w:val="0"/>
    <w:rPr>
      <w:rFonts w:ascii="Times New Roman" w:hAnsi="Times New Roman" w:eastAsia="宋体" w:cs="Times New Roman"/>
      <w:sz w:val="18"/>
      <w:szCs w:val="18"/>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MyCompany</Company>
  <Pages>5</Pages>
  <Words>410</Words>
  <Characters>2341</Characters>
  <Lines>19</Lines>
  <Paragraphs>5</Paragraphs>
  <TotalTime>64</TotalTime>
  <ScaleCrop>false</ScaleCrop>
  <LinksUpToDate>false</LinksUpToDate>
  <CharactersWithSpaces>2746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2020-10-21T09:24:00Z</dcterms:created>
  <dc:creator>Customer</dc:creator>
  <cp:lastModifiedBy>ぺ灬cc果冻ル</cp:lastModifiedBy>
  <dcterms:modified xsi:type="dcterms:W3CDTF">2020-10-22T01:57:52Z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