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AB" w:rsidRPr="003B56AB" w:rsidRDefault="003B56AB" w:rsidP="003B56AB">
      <w:pPr>
        <w:widowControl/>
        <w:shd w:val="clear" w:color="auto" w:fill="FFFFFF"/>
        <w:spacing w:before="100" w:beforeAutospacing="1" w:after="100" w:afterAutospacing="1" w:line="360" w:lineRule="atLeast"/>
        <w:ind w:firstLineChars="0" w:firstLine="380"/>
        <w:jc w:val="center"/>
        <w:rPr>
          <w:rFonts w:ascii="微软雅黑" w:eastAsia="微软雅黑" w:hAnsi="微软雅黑" w:cs="宋体"/>
          <w:b/>
          <w:color w:val="666666"/>
          <w:kern w:val="0"/>
          <w:sz w:val="17"/>
          <w:szCs w:val="17"/>
        </w:rPr>
      </w:pPr>
      <w:r w:rsidRPr="003B56AB">
        <w:rPr>
          <w:rFonts w:ascii="宋体" w:eastAsia="宋体" w:hAnsi="宋体" w:cs="宋体" w:hint="eastAsia"/>
          <w:b/>
          <w:color w:val="666666"/>
          <w:kern w:val="0"/>
          <w:sz w:val="19"/>
          <w:szCs w:val="19"/>
        </w:rPr>
        <w:t>郏县2020年事业单位招才引智岗位设置表</w:t>
      </w:r>
    </w:p>
    <w:tbl>
      <w:tblPr>
        <w:tblStyle w:val="a"/>
        <w:tblW w:w="68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6"/>
        <w:gridCol w:w="2928"/>
      </w:tblGrid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5"/>
              </w:rPr>
              <w:t>引进专业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5"/>
              </w:rPr>
              <w:t>引进人数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经济管理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金融管理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财务管理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投融资管理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城市规划建设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土地规划与利用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行政法学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产业经济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文化旅游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畜牧学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电子商务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审计学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信息与大数据工程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新闻学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融媒体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2</w:t>
            </w:r>
          </w:p>
        </w:tc>
      </w:tr>
      <w:tr w:rsidR="003B56AB" w:rsidRPr="003B56AB" w:rsidTr="003B56AB">
        <w:trPr>
          <w:trHeight w:val="45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合计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B56AB" w:rsidRPr="003B56AB" w:rsidRDefault="003B56AB" w:rsidP="003B56AB">
            <w:pPr>
              <w:widowControl/>
              <w:autoSpaceDE w:val="0"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3B56AB">
              <w:rPr>
                <w:rFonts w:ascii="仿宋_GB2312" w:eastAsia="仿宋_GB2312" w:hAnsi="宋体" w:cs="宋体" w:hint="eastAsia"/>
                <w:color w:val="666666"/>
                <w:kern w:val="0"/>
                <w:sz w:val="25"/>
                <w:szCs w:val="25"/>
              </w:rPr>
              <w:t>30</w:t>
            </w:r>
          </w:p>
        </w:tc>
      </w:tr>
    </w:tbl>
    <w:p w:rsidR="007C7F1D" w:rsidRPr="003B56AB" w:rsidRDefault="007C7F1D" w:rsidP="003B56AB">
      <w:pPr>
        <w:ind w:firstLine="420"/>
      </w:pPr>
    </w:p>
    <w:sectPr w:rsidR="007C7F1D" w:rsidRPr="003B56A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09C"/>
    <w:rsid w:val="000645EE"/>
    <w:rsid w:val="003B56AB"/>
    <w:rsid w:val="0044109C"/>
    <w:rsid w:val="007A0D36"/>
    <w:rsid w:val="007C7F1D"/>
    <w:rsid w:val="00D3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10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10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3B56A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B5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2020-10-16T01:45:00Z</dcterms:created>
  <dcterms:modified xsi:type="dcterms:W3CDTF">2020-10-16T02:25:00Z</dcterms:modified>
</cp:coreProperties>
</file>