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CA" w:rsidRDefault="00A826CA" w:rsidP="00A826CA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附件1：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color w:val="333333"/>
          <w:spacing w:val="8"/>
          <w:sz w:val="44"/>
          <w:szCs w:val="44"/>
          <w:shd w:val="clear" w:color="auto" w:fill="FFFFFF"/>
        </w:rPr>
        <w:t>体能测试评分标准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一、理论测试20分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二、体能测试80分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（一）单杠引体向上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1.考核标准：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两手正握单杠，双手间距比肩稍宽，呈直臂悬垂姿势。做引体动作时下颌超过杠面，做臂悬垂动作时两臂自然伸直。从双手握杠悬停3秒开始，到双手离杠为考试结束，以连续完成的引体次数计取成绩。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2.评分标准：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完成10个的，计25分;在此基础上每增加1个增加2.5分，以此类推，20个或以上的记满分50分。低于10个的计零分。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（二）3000米跑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1.考核标准：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从队员听到信号开始起跑并计时，至按要求跑完3000米所用的时间为其考核成绩，成绩精确到秒。</w:t>
      </w:r>
    </w:p>
    <w:p w:rsidR="00A826CA" w:rsidRDefault="00A826CA" w:rsidP="00A826CA">
      <w:pPr>
        <w:pStyle w:val="a3"/>
        <w:widowControl/>
        <w:spacing w:beforeAutospacing="0" w:afterAutospacing="0" w:line="560" w:lineRule="exact"/>
        <w:ind w:firstLineChars="200" w:firstLine="6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2.评分标准：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13分40秒内完成的，得5分，每减少1秒加1分，以此类推，12分50秒内完成的得50分；超过13分40秒得0分。</w:t>
      </w:r>
    </w:p>
    <w:p w:rsidR="00C92F3F" w:rsidRPr="00A826CA" w:rsidRDefault="00C92F3F"/>
    <w:sectPr w:rsidR="00C92F3F" w:rsidRPr="00A826CA" w:rsidSect="00C9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6CA"/>
    <w:rsid w:val="00A826CA"/>
    <w:rsid w:val="00C9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826C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A826C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2020-09-21T01:43:00Z</dcterms:created>
  <dcterms:modified xsi:type="dcterms:W3CDTF">2020-09-21T01:43:00Z</dcterms:modified>
</cp:coreProperties>
</file>