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1492"/>
        <w:gridCol w:w="805"/>
        <w:gridCol w:w="5575"/>
      </w:tblGrid>
      <w:tr w:rsidR="009B1602" w:rsidRPr="009B1602" w:rsidTr="009B160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</w:t>
            </w:r>
            <w:r w:rsidRPr="009B1602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br/>
              <w:t>人数</w:t>
            </w:r>
          </w:p>
        </w:tc>
        <w:tc>
          <w:tcPr>
            <w:tcW w:w="5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招聘人员条件</w:t>
            </w:r>
          </w:p>
        </w:tc>
      </w:tr>
      <w:tr w:rsidR="009B1602" w:rsidRPr="009B1602" w:rsidTr="009B1602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人才部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1、具有硕士研究生及以上学历，科技管理、人才学、人力资源、公共管理等相关专业背景；</w:t>
            </w:r>
            <w:r w:rsidRPr="009B1602">
              <w:rPr>
                <w:rFonts w:ascii="宋体" w:eastAsia="宋体" w:hAnsi="宋体" w:cs="宋体"/>
                <w:sz w:val="24"/>
                <w:szCs w:val="24"/>
              </w:rPr>
              <w:br/>
              <w:t>2、具有科技人才政策研究、人才计划和项目评估、人力资源管理工作经验者优先；</w:t>
            </w:r>
            <w:r w:rsidRPr="009B1602">
              <w:rPr>
                <w:rFonts w:ascii="宋体" w:eastAsia="宋体" w:hAnsi="宋体" w:cs="宋体"/>
                <w:sz w:val="24"/>
                <w:szCs w:val="24"/>
              </w:rPr>
              <w:br/>
              <w:t>3、具有较强的研究、写作、实践能力和较好的英语水平。</w:t>
            </w:r>
          </w:p>
        </w:tc>
      </w:tr>
      <w:tr w:rsidR="009B1602" w:rsidRPr="009B1602" w:rsidTr="009B1602">
        <w:trPr>
          <w:trHeight w:val="9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 w:line="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政策与改革部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 w:line="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1、具有博士学位，科技政策、技术经济、公共管理、科学学、产业经济学等相关学科专业背景，理论基础和文字功底扎实；</w:t>
            </w:r>
            <w:r w:rsidRPr="009B1602">
              <w:rPr>
                <w:rFonts w:ascii="宋体" w:eastAsia="宋体" w:hAnsi="宋体" w:cs="宋体"/>
                <w:sz w:val="24"/>
                <w:szCs w:val="24"/>
              </w:rPr>
              <w:br/>
              <w:t>2、英语水平达到CET-6级以上，具有较强的听、说、读、写能力；</w:t>
            </w:r>
            <w:r w:rsidRPr="009B1602">
              <w:rPr>
                <w:rFonts w:ascii="宋体" w:eastAsia="宋体" w:hAnsi="宋体" w:cs="宋体"/>
                <w:sz w:val="24"/>
                <w:szCs w:val="24"/>
              </w:rPr>
              <w:br/>
              <w:t>3、具有较强的研究和写作能力。</w:t>
            </w:r>
          </w:p>
        </w:tc>
      </w:tr>
      <w:tr w:rsidR="009B1602" w:rsidRPr="009B1602" w:rsidTr="009B1602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战略研究部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1、具有博士学位；</w:t>
            </w:r>
            <w:r w:rsidRPr="009B1602">
              <w:rPr>
                <w:rFonts w:ascii="宋体" w:eastAsia="宋体" w:hAnsi="宋体" w:cs="宋体"/>
                <w:sz w:val="24"/>
                <w:szCs w:val="24"/>
              </w:rPr>
              <w:br/>
              <w:t>2、工作经验2-3年；</w:t>
            </w:r>
            <w:r w:rsidRPr="009B1602">
              <w:rPr>
                <w:rFonts w:ascii="宋体" w:eastAsia="宋体" w:hAnsi="宋体" w:cs="宋体"/>
                <w:sz w:val="24"/>
                <w:szCs w:val="24"/>
              </w:rPr>
              <w:br/>
              <w:t>3、熟悉科技政策、公共管理、宏观经济。</w:t>
            </w:r>
          </w:p>
        </w:tc>
      </w:tr>
      <w:tr w:rsidR="009B1602" w:rsidRPr="009B1602" w:rsidTr="009B1602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标准化与质量部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1、具有硕士研究生以上学历；</w:t>
            </w:r>
            <w:r w:rsidRPr="009B1602">
              <w:rPr>
                <w:rFonts w:ascii="宋体" w:eastAsia="宋体" w:hAnsi="宋体" w:cs="宋体"/>
                <w:sz w:val="24"/>
                <w:szCs w:val="24"/>
              </w:rPr>
              <w:br/>
              <w:t>2、标准化或质量管理专业；</w:t>
            </w:r>
            <w:r w:rsidRPr="009B1602">
              <w:rPr>
                <w:rFonts w:ascii="宋体" w:eastAsia="宋体" w:hAnsi="宋体" w:cs="宋体"/>
                <w:sz w:val="24"/>
                <w:szCs w:val="24"/>
              </w:rPr>
              <w:br/>
              <w:t>3、有一定文字功底。</w:t>
            </w:r>
          </w:p>
        </w:tc>
      </w:tr>
      <w:tr w:rsidR="009B1602" w:rsidRPr="009B1602" w:rsidTr="009B1602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知识产权与法务部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1、科技伦理研究人员1名：伦理学、法学、管理学、科技哲学、生命科学、信息科学等专业背景，硕士研究生及以上学历，具有较强的研究和写作能力；</w:t>
            </w:r>
            <w:r w:rsidRPr="009B1602">
              <w:rPr>
                <w:rFonts w:ascii="宋体" w:eastAsia="宋体" w:hAnsi="宋体" w:cs="宋体"/>
                <w:sz w:val="24"/>
                <w:szCs w:val="24"/>
              </w:rPr>
              <w:br/>
              <w:t>2、法律研究人员1名：科技法、知识产权法、竞争法、行政法、民法等法律专业背景，硕士研究生及以上学历，具有较强的研究和写作能力。</w:t>
            </w:r>
          </w:p>
        </w:tc>
      </w:tr>
      <w:tr w:rsidR="009B1602" w:rsidRPr="009B1602" w:rsidTr="009B1602">
        <w:trPr>
          <w:trHeight w:val="9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 w:line="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军民融合部与前沿技术部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 w:line="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1、具有硕士研究生以上学历；</w:t>
            </w:r>
            <w:r w:rsidRPr="009B1602">
              <w:rPr>
                <w:rFonts w:ascii="宋体" w:eastAsia="宋体" w:hAnsi="宋体" w:cs="宋体"/>
                <w:sz w:val="24"/>
                <w:szCs w:val="24"/>
              </w:rPr>
              <w:br/>
              <w:t>2、信息技术、产业经济相关专业；</w:t>
            </w:r>
            <w:r w:rsidRPr="009B1602">
              <w:rPr>
                <w:rFonts w:ascii="宋体" w:eastAsia="宋体" w:hAnsi="宋体" w:cs="宋体"/>
                <w:sz w:val="24"/>
                <w:szCs w:val="24"/>
              </w:rPr>
              <w:br/>
              <w:t>3、具有数字经济研究评估经历者、具有博士学位者优先。</w:t>
            </w:r>
          </w:p>
        </w:tc>
      </w:tr>
      <w:tr w:rsidR="009B1602" w:rsidRPr="009B1602" w:rsidTr="009B1602">
        <w:trPr>
          <w:trHeight w:val="90"/>
          <w:jc w:val="center"/>
        </w:trPr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 w:line="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国际部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 w:line="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1、具有博士学位；</w:t>
            </w:r>
            <w:r w:rsidRPr="009B1602">
              <w:rPr>
                <w:rFonts w:ascii="宋体" w:eastAsia="宋体" w:hAnsi="宋体" w:cs="宋体"/>
                <w:sz w:val="24"/>
                <w:szCs w:val="24"/>
              </w:rPr>
              <w:br/>
              <w:t>2、具备较强的科研能力，良好的写作能力，以及较好的英语读写能力；</w:t>
            </w:r>
            <w:r w:rsidRPr="009B1602">
              <w:rPr>
                <w:rFonts w:ascii="宋体" w:eastAsia="宋体" w:hAnsi="宋体" w:cs="宋体"/>
                <w:sz w:val="24"/>
                <w:szCs w:val="24"/>
              </w:rPr>
              <w:br/>
              <w:t>3、有工作经验者（含博士后）优先。</w:t>
            </w:r>
          </w:p>
        </w:tc>
      </w:tr>
      <w:tr w:rsidR="009B1602" w:rsidRPr="009B1602" w:rsidTr="009B1602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602" w:rsidRPr="009B1602" w:rsidRDefault="009B1602" w:rsidP="009B160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02" w:rsidRPr="009B1602" w:rsidRDefault="009B1602" w:rsidP="009B1602">
            <w:pPr>
              <w:adjustRightInd/>
              <w:snapToGrid/>
              <w:spacing w:before="100" w:beforeAutospacing="1" w:after="100" w:afterAutospacing="1" w:line="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B1602">
              <w:rPr>
                <w:rFonts w:ascii="宋体" w:eastAsia="宋体" w:hAnsi="宋体" w:cs="宋体"/>
                <w:sz w:val="24"/>
                <w:szCs w:val="24"/>
              </w:rPr>
              <w:t>1、具有硕士研究生及以上学历；</w:t>
            </w:r>
            <w:r w:rsidRPr="009B1602">
              <w:rPr>
                <w:rFonts w:ascii="宋体" w:eastAsia="宋体" w:hAnsi="宋体" w:cs="宋体"/>
                <w:sz w:val="24"/>
                <w:szCs w:val="24"/>
              </w:rPr>
              <w:br/>
              <w:t>2、国际关系、社会学、管理学、经济学等社会科学专业背景；</w:t>
            </w:r>
            <w:r w:rsidRPr="009B1602">
              <w:rPr>
                <w:rFonts w:ascii="宋体" w:eastAsia="宋体" w:hAnsi="宋体" w:cs="宋体"/>
                <w:sz w:val="24"/>
                <w:szCs w:val="24"/>
              </w:rPr>
              <w:br/>
              <w:t>3、具备熟练的英文听、说、读、写能力；有海外求学或工作经历者优先。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B1602"/>
    <w:rsid w:val="00323B43"/>
    <w:rsid w:val="003D37D8"/>
    <w:rsid w:val="004358AB"/>
    <w:rsid w:val="0064020C"/>
    <w:rsid w:val="008811B0"/>
    <w:rsid w:val="008B7726"/>
    <w:rsid w:val="009B1602"/>
    <w:rsid w:val="00CF7209"/>
    <w:rsid w:val="00D033D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9B160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2020-07-25T01:45:00Z</dcterms:created>
  <dcterms:modified xsi:type="dcterms:W3CDTF">2020-07-25T01:46:00Z</dcterms:modified>
</cp:coreProperties>
</file>