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rPr>
          <w:rFonts w:ascii="宋体" w:hAnsi="宋体" w:cs="Helvetica"/>
          <w:kern w:val="0"/>
          <w:sz w:val="24"/>
          <w:szCs w:val="24"/>
        </w:rPr>
      </w:pPr>
      <w:r>
        <w:rPr>
          <w:rFonts w:hint="eastAsia" w:ascii="宋体" w:hAnsi="宋体" w:cs="Helvetica"/>
          <w:kern w:val="0"/>
          <w:sz w:val="24"/>
          <w:szCs w:val="24"/>
        </w:rPr>
        <w:t>附件3：</w:t>
      </w:r>
      <w:bookmarkStart w:id="0" w:name="_GoBack"/>
      <w:r>
        <w:rPr>
          <w:rFonts w:hint="eastAsia" w:ascii="宋体" w:hAnsi="宋体" w:cs="Helvetica"/>
          <w:kern w:val="0"/>
          <w:sz w:val="24"/>
          <w:szCs w:val="24"/>
        </w:rPr>
        <w:t>浙江旅游职业学院2020年非教学岗位招聘考试参考书目</w:t>
      </w:r>
      <w:bookmarkEnd w:id="0"/>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1842"/>
        <w:gridCol w:w="1276"/>
        <w:gridCol w:w="9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668" w:type="dxa"/>
            <w:vAlign w:val="center"/>
          </w:tcPr>
          <w:p>
            <w:pPr>
              <w:widowControl/>
              <w:spacing w:line="360" w:lineRule="atLeast"/>
              <w:jc w:val="center"/>
              <w:rPr>
                <w:rFonts w:ascii="Helvetica" w:hAnsi="Helvetica" w:cs="Helvetica"/>
                <w:b/>
                <w:color w:val="000000" w:themeColor="text1"/>
                <w:kern w:val="0"/>
                <w:szCs w:val="21"/>
                <w14:textFill>
                  <w14:solidFill>
                    <w14:schemeClr w14:val="tx1"/>
                  </w14:solidFill>
                </w14:textFill>
              </w:rPr>
            </w:pPr>
            <w:r>
              <w:rPr>
                <w:rFonts w:hint="eastAsia" w:ascii="Helvetica" w:hAnsi="Helvetica" w:cs="Helvetica"/>
                <w:b/>
                <w:color w:val="000000" w:themeColor="text1"/>
                <w:kern w:val="0"/>
                <w:szCs w:val="21"/>
                <w14:textFill>
                  <w14:solidFill>
                    <w14:schemeClr w14:val="tx1"/>
                  </w14:solidFill>
                </w14:textFill>
              </w:rPr>
              <w:t>试卷名称</w:t>
            </w:r>
          </w:p>
        </w:tc>
        <w:tc>
          <w:tcPr>
            <w:tcW w:w="1842" w:type="dxa"/>
            <w:vAlign w:val="center"/>
          </w:tcPr>
          <w:p>
            <w:pPr>
              <w:widowControl/>
              <w:spacing w:line="360" w:lineRule="atLeast"/>
              <w:jc w:val="center"/>
              <w:rPr>
                <w:rFonts w:ascii="Helvetica" w:hAnsi="Helvetica" w:cs="Helvetica"/>
                <w:b/>
                <w:color w:val="000000" w:themeColor="text1"/>
                <w:kern w:val="0"/>
                <w:szCs w:val="21"/>
                <w14:textFill>
                  <w14:solidFill>
                    <w14:schemeClr w14:val="tx1"/>
                  </w14:solidFill>
                </w14:textFill>
              </w:rPr>
            </w:pPr>
            <w:r>
              <w:rPr>
                <w:rFonts w:hint="eastAsia" w:ascii="Helvetica" w:hAnsi="Helvetica" w:cs="Helvetica"/>
                <w:b/>
                <w:color w:val="000000" w:themeColor="text1"/>
                <w:kern w:val="0"/>
                <w:szCs w:val="21"/>
                <w14:textFill>
                  <w14:solidFill>
                    <w14:schemeClr w14:val="tx1"/>
                  </w14:solidFill>
                </w14:textFill>
              </w:rPr>
              <w:t>招聘岗位</w:t>
            </w:r>
          </w:p>
        </w:tc>
        <w:tc>
          <w:tcPr>
            <w:tcW w:w="1276" w:type="dxa"/>
            <w:vAlign w:val="center"/>
          </w:tcPr>
          <w:p>
            <w:pPr>
              <w:widowControl/>
              <w:spacing w:line="360" w:lineRule="atLeast"/>
              <w:jc w:val="center"/>
              <w:rPr>
                <w:rFonts w:ascii="Helvetica" w:hAnsi="Helvetica" w:cs="Helvetica"/>
                <w:b/>
                <w:color w:val="000000" w:themeColor="text1"/>
                <w:kern w:val="0"/>
                <w:szCs w:val="21"/>
                <w14:textFill>
                  <w14:solidFill>
                    <w14:schemeClr w14:val="tx1"/>
                  </w14:solidFill>
                </w14:textFill>
              </w:rPr>
            </w:pPr>
            <w:r>
              <w:rPr>
                <w:rFonts w:hint="eastAsia" w:ascii="Helvetica" w:hAnsi="Helvetica" w:cs="Helvetica"/>
                <w:b/>
                <w:color w:val="000000" w:themeColor="text1"/>
                <w:kern w:val="0"/>
                <w:szCs w:val="21"/>
                <w14:textFill>
                  <w14:solidFill>
                    <w14:schemeClr w14:val="tx1"/>
                  </w14:solidFill>
                </w14:textFill>
              </w:rPr>
              <w:t>试题类型</w:t>
            </w:r>
          </w:p>
        </w:tc>
        <w:tc>
          <w:tcPr>
            <w:tcW w:w="9388" w:type="dxa"/>
            <w:vAlign w:val="center"/>
          </w:tcPr>
          <w:p>
            <w:pPr>
              <w:widowControl/>
              <w:spacing w:line="360" w:lineRule="atLeast"/>
              <w:jc w:val="center"/>
              <w:rPr>
                <w:rFonts w:ascii="Helvetica" w:hAnsi="Helvetica" w:cs="Helvetica"/>
                <w:b/>
                <w:color w:val="000000" w:themeColor="text1"/>
                <w:kern w:val="0"/>
                <w:szCs w:val="21"/>
                <w14:textFill>
                  <w14:solidFill>
                    <w14:schemeClr w14:val="tx1"/>
                  </w14:solidFill>
                </w14:textFill>
              </w:rPr>
            </w:pPr>
            <w:r>
              <w:rPr>
                <w:rFonts w:hint="eastAsia" w:ascii="Helvetica" w:hAnsi="Helvetica" w:cs="Helvetica"/>
                <w:b/>
                <w:color w:val="000000" w:themeColor="text1"/>
                <w:kern w:val="0"/>
                <w:szCs w:val="21"/>
                <w14:textFill>
                  <w14:solidFill>
                    <w14:schemeClr w14:val="tx1"/>
                  </w14:solidFill>
                </w14:textFill>
              </w:rPr>
              <w:t>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3" w:hRule="atLeast"/>
        </w:trPr>
        <w:tc>
          <w:tcPr>
            <w:tcW w:w="1668" w:type="dxa"/>
            <w:vAlign w:val="center"/>
          </w:tcPr>
          <w:p>
            <w:pPr>
              <w:autoSpaceDE w:val="0"/>
              <w:autoSpaceDN w:val="0"/>
              <w:adjustRightInd w:val="0"/>
              <w:spacing w:line="400" w:lineRule="exact"/>
              <w:jc w:val="center"/>
              <w:rPr>
                <w:rFonts w:ascii="Helvetica" w:hAnsi="Helvetica" w:cs="Helvetica"/>
                <w:b/>
                <w:color w:val="FF0000"/>
                <w:kern w:val="0"/>
                <w:szCs w:val="21"/>
              </w:rPr>
            </w:pPr>
            <w:r>
              <w:rPr>
                <w:rFonts w:hint="eastAsia" w:ascii="宋体" w:hAnsi="宋体" w:cs="仿宋_GB2312"/>
                <w:szCs w:val="21"/>
                <w:lang w:val="zh-CN"/>
              </w:rPr>
              <w:t>试卷三</w:t>
            </w:r>
          </w:p>
        </w:tc>
        <w:tc>
          <w:tcPr>
            <w:tcW w:w="1842" w:type="dxa"/>
            <w:vAlign w:val="center"/>
          </w:tcPr>
          <w:p>
            <w:pPr>
              <w:autoSpaceDE w:val="0"/>
              <w:autoSpaceDN w:val="0"/>
              <w:adjustRightInd w:val="0"/>
              <w:spacing w:line="400" w:lineRule="exact"/>
              <w:jc w:val="center"/>
              <w:rPr>
                <w:rFonts w:ascii="宋体" w:hAnsi="宋体" w:cs="仿宋_GB2312"/>
                <w:szCs w:val="21"/>
                <w:lang w:val="zh-CN"/>
              </w:rPr>
            </w:pPr>
            <w:r>
              <w:rPr>
                <w:rFonts w:hint="eastAsia" w:ascii="宋体" w:hAnsi="宋体" w:cs="仿宋_GB2312"/>
                <w:szCs w:val="21"/>
                <w:lang w:val="zh-CN"/>
              </w:rPr>
              <w:t>辅导员</w:t>
            </w:r>
          </w:p>
          <w:p>
            <w:pPr>
              <w:autoSpaceDE w:val="0"/>
              <w:autoSpaceDN w:val="0"/>
              <w:adjustRightInd w:val="0"/>
              <w:spacing w:line="400" w:lineRule="exact"/>
              <w:jc w:val="center"/>
              <w:rPr>
                <w:rFonts w:ascii="宋体" w:hAnsi="宋体" w:cs="仿宋_GB2312"/>
                <w:bCs/>
                <w:szCs w:val="21"/>
                <w:lang w:val="zh-CN"/>
              </w:rPr>
            </w:pPr>
            <w:r>
              <w:rPr>
                <w:rFonts w:hint="eastAsia" w:ascii="宋体" w:hAnsi="宋体" w:cs="仿宋_GB2312"/>
                <w:szCs w:val="21"/>
                <w:lang w:val="zh-CN"/>
              </w:rPr>
              <w:t>（含千岛湖校区辅导员）</w:t>
            </w:r>
          </w:p>
        </w:tc>
        <w:tc>
          <w:tcPr>
            <w:tcW w:w="1276" w:type="dxa"/>
            <w:vAlign w:val="center"/>
          </w:tcPr>
          <w:p>
            <w:pPr>
              <w:jc w:val="center"/>
              <w:rPr>
                <w:rFonts w:ascii="宋体" w:hAnsi="宋体" w:cs="宋体"/>
                <w:color w:val="000000"/>
                <w:szCs w:val="20"/>
              </w:rPr>
            </w:pPr>
            <w:r>
              <w:rPr>
                <w:rFonts w:hint="eastAsia" w:ascii="宋体" w:hAnsi="宋体" w:cs="宋体"/>
                <w:color w:val="000000"/>
                <w:szCs w:val="20"/>
              </w:rPr>
              <w:t>单选题</w:t>
            </w:r>
          </w:p>
          <w:p>
            <w:pPr>
              <w:jc w:val="center"/>
              <w:rPr>
                <w:rFonts w:ascii="宋体" w:hAnsi="宋体" w:cs="宋体"/>
                <w:color w:val="000000"/>
                <w:szCs w:val="20"/>
              </w:rPr>
            </w:pPr>
            <w:r>
              <w:rPr>
                <w:rFonts w:hint="eastAsia" w:ascii="宋体" w:hAnsi="宋体" w:cs="宋体"/>
                <w:color w:val="000000"/>
                <w:szCs w:val="20"/>
              </w:rPr>
              <w:t>简答题</w:t>
            </w:r>
          </w:p>
          <w:p>
            <w:pPr>
              <w:jc w:val="center"/>
              <w:rPr>
                <w:rFonts w:ascii="宋体" w:hAnsi="宋体"/>
                <w:szCs w:val="21"/>
              </w:rPr>
            </w:pPr>
            <w:r>
              <w:rPr>
                <w:rFonts w:hint="eastAsia" w:ascii="宋体" w:hAnsi="宋体" w:cs="宋体"/>
                <w:color w:val="000000"/>
                <w:szCs w:val="20"/>
              </w:rPr>
              <w:t>应用题</w:t>
            </w:r>
          </w:p>
        </w:tc>
        <w:tc>
          <w:tcPr>
            <w:tcW w:w="9388" w:type="dxa"/>
            <w:vAlign w:val="center"/>
          </w:tcPr>
          <w:p>
            <w:pPr>
              <w:widowControl/>
              <w:spacing w:line="320" w:lineRule="exact"/>
              <w:rPr>
                <w:rFonts w:ascii="宋体" w:hAnsi="宋体" w:cs="仿宋"/>
                <w:kern w:val="0"/>
                <w:szCs w:val="21"/>
              </w:rPr>
            </w:pPr>
            <w:r>
              <w:rPr>
                <w:rFonts w:hint="eastAsia" w:ascii="宋体" w:hAnsi="宋体" w:cs="仿宋"/>
                <w:kern w:val="0"/>
                <w:szCs w:val="21"/>
              </w:rPr>
              <w:t>1.习近平系列重要讲话读本，</w:t>
            </w:r>
            <w:r>
              <w:fldChar w:fldCharType="begin"/>
            </w:r>
            <w:r>
              <w:instrText xml:space="preserve"> HYPERLINK "http://baike.baidu.com/view/37406.htm" \t "_blank" </w:instrText>
            </w:r>
            <w:r>
              <w:fldChar w:fldCharType="separate"/>
            </w:r>
            <w:r>
              <w:rPr>
                <w:rFonts w:hint="eastAsia" w:ascii="宋体" w:hAnsi="宋体" w:cs="仿宋"/>
                <w:kern w:val="0"/>
                <w:szCs w:val="21"/>
              </w:rPr>
              <w:t>人民出版社</w:t>
            </w:r>
            <w:r>
              <w:rPr>
                <w:rFonts w:hint="eastAsia" w:ascii="宋体" w:hAnsi="宋体" w:cs="仿宋"/>
                <w:kern w:val="0"/>
                <w:szCs w:val="21"/>
              </w:rPr>
              <w:fldChar w:fldCharType="end"/>
            </w:r>
            <w:r>
              <w:rPr>
                <w:rFonts w:hint="eastAsia" w:ascii="宋体" w:hAnsi="宋体" w:cs="仿宋"/>
                <w:kern w:val="0"/>
                <w:szCs w:val="21"/>
              </w:rPr>
              <w:t>，2014年出版；</w:t>
            </w:r>
          </w:p>
          <w:p>
            <w:pPr>
              <w:widowControl/>
              <w:spacing w:line="320" w:lineRule="exact"/>
              <w:rPr>
                <w:rFonts w:ascii="宋体" w:hAnsi="宋体" w:cs="仿宋"/>
                <w:kern w:val="0"/>
                <w:szCs w:val="21"/>
              </w:rPr>
            </w:pPr>
            <w:r>
              <w:rPr>
                <w:rFonts w:hint="eastAsia" w:ascii="宋体" w:hAnsi="宋体" w:cs="仿宋"/>
                <w:kern w:val="0"/>
                <w:szCs w:val="21"/>
              </w:rPr>
              <w:t>2.习近平在全国高校思想政治工作会议上的重要讲话；</w:t>
            </w:r>
          </w:p>
          <w:p>
            <w:pPr>
              <w:widowControl/>
              <w:spacing w:line="320" w:lineRule="exact"/>
              <w:rPr>
                <w:rFonts w:ascii="宋体" w:hAnsi="宋体" w:cs="仿宋"/>
                <w:kern w:val="0"/>
                <w:szCs w:val="21"/>
              </w:rPr>
            </w:pPr>
            <w:r>
              <w:rPr>
                <w:rFonts w:hint="eastAsia" w:ascii="宋体" w:hAnsi="宋体" w:cs="仿宋"/>
                <w:kern w:val="0"/>
                <w:szCs w:val="21"/>
              </w:rPr>
              <w:t>3.习近平在北京大学师生座谈会上的讲话；</w:t>
            </w:r>
          </w:p>
          <w:p>
            <w:pPr>
              <w:widowControl/>
              <w:spacing w:line="320" w:lineRule="exact"/>
              <w:rPr>
                <w:rFonts w:ascii="宋体" w:hAnsi="宋体" w:cs="仿宋"/>
                <w:kern w:val="0"/>
                <w:szCs w:val="21"/>
              </w:rPr>
            </w:pPr>
            <w:r>
              <w:rPr>
                <w:rFonts w:hint="eastAsia" w:ascii="宋体" w:hAnsi="宋体" w:cs="仿宋"/>
                <w:kern w:val="0"/>
                <w:szCs w:val="21"/>
              </w:rPr>
              <w:t>4.习近平在纪念马克思诞辰200周年大会上的讲话；</w:t>
            </w:r>
          </w:p>
          <w:p>
            <w:pPr>
              <w:widowControl/>
              <w:spacing w:line="320" w:lineRule="exact"/>
              <w:rPr>
                <w:rFonts w:ascii="宋体" w:hAnsi="宋体" w:cs="仿宋"/>
                <w:kern w:val="0"/>
                <w:szCs w:val="21"/>
              </w:rPr>
            </w:pPr>
            <w:r>
              <w:rPr>
                <w:rFonts w:hint="eastAsia" w:ascii="宋体" w:hAnsi="宋体" w:cs="仿宋"/>
                <w:kern w:val="0"/>
                <w:szCs w:val="21"/>
              </w:rPr>
              <w:t>5.第十九次全国代表大会报告；</w:t>
            </w:r>
          </w:p>
          <w:p>
            <w:pPr>
              <w:widowControl/>
              <w:spacing w:line="320" w:lineRule="exact"/>
              <w:rPr>
                <w:rFonts w:ascii="宋体" w:hAnsi="宋体" w:cs="仿宋"/>
                <w:kern w:val="0"/>
                <w:szCs w:val="21"/>
              </w:rPr>
            </w:pPr>
            <w:r>
              <w:rPr>
                <w:rFonts w:hint="eastAsia" w:ascii="宋体" w:hAnsi="宋体" w:cs="仿宋"/>
                <w:kern w:val="0"/>
                <w:szCs w:val="21"/>
              </w:rPr>
              <w:t>6.</w:t>
            </w:r>
            <w:r>
              <w:rPr>
                <w:rFonts w:hint="eastAsia"/>
              </w:rPr>
              <w:t>中国共产党第十九届中央委员会第四次全体会议公报</w:t>
            </w:r>
            <w:r>
              <w:rPr>
                <w:rFonts w:hint="eastAsia" w:ascii="宋体" w:hAnsi="宋体" w:cs="仿宋"/>
                <w:kern w:val="0"/>
                <w:szCs w:val="21"/>
              </w:rPr>
              <w:t>；</w:t>
            </w:r>
          </w:p>
          <w:p>
            <w:pPr>
              <w:widowControl/>
              <w:spacing w:line="320" w:lineRule="exact"/>
              <w:rPr>
                <w:rFonts w:ascii="宋体" w:hAnsi="宋体" w:cs="仿宋"/>
                <w:kern w:val="0"/>
                <w:szCs w:val="21"/>
              </w:rPr>
            </w:pPr>
            <w:r>
              <w:rPr>
                <w:rFonts w:hint="eastAsia" w:ascii="宋体" w:hAnsi="宋体" w:cs="仿宋"/>
                <w:kern w:val="0"/>
                <w:szCs w:val="21"/>
              </w:rPr>
              <w:t>7.关于新形势下党内政治生活的若干准则；</w:t>
            </w:r>
          </w:p>
          <w:p>
            <w:pPr>
              <w:widowControl/>
              <w:spacing w:line="320" w:lineRule="exact"/>
              <w:rPr>
                <w:rFonts w:ascii="宋体" w:hAnsi="宋体" w:cs="仿宋"/>
                <w:kern w:val="0"/>
                <w:szCs w:val="21"/>
              </w:rPr>
            </w:pPr>
            <w:r>
              <w:rPr>
                <w:rFonts w:hint="eastAsia" w:ascii="宋体" w:hAnsi="宋体" w:cs="仿宋"/>
                <w:kern w:val="0"/>
                <w:szCs w:val="21"/>
              </w:rPr>
              <w:t>8.中国共产党党内监督条例；</w:t>
            </w:r>
          </w:p>
          <w:p>
            <w:pPr>
              <w:widowControl/>
              <w:spacing w:line="320" w:lineRule="exact"/>
              <w:rPr>
                <w:rFonts w:ascii="宋体" w:hAnsi="宋体" w:cs="仿宋"/>
                <w:kern w:val="0"/>
                <w:szCs w:val="21"/>
              </w:rPr>
            </w:pPr>
            <w:r>
              <w:rPr>
                <w:rFonts w:hint="eastAsia" w:ascii="宋体" w:hAnsi="宋体" w:cs="仿宋"/>
                <w:kern w:val="0"/>
                <w:szCs w:val="21"/>
              </w:rPr>
              <w:t>9.中国共产党纪律处分条例，2018年修订；</w:t>
            </w:r>
          </w:p>
          <w:p>
            <w:pPr>
              <w:widowControl/>
              <w:spacing w:line="320" w:lineRule="exact"/>
              <w:rPr>
                <w:rFonts w:ascii="宋体" w:hAnsi="宋体" w:cs="仿宋"/>
                <w:kern w:val="0"/>
                <w:szCs w:val="21"/>
              </w:rPr>
            </w:pPr>
            <w:r>
              <w:rPr>
                <w:rFonts w:hint="eastAsia" w:ascii="宋体" w:hAnsi="宋体" w:cs="仿宋"/>
                <w:kern w:val="0"/>
                <w:szCs w:val="21"/>
              </w:rPr>
              <w:t>10.中华人民共和国教育法，2015年修订；</w:t>
            </w:r>
            <w:r>
              <w:rPr>
                <w:rFonts w:hint="eastAsia" w:ascii="宋体" w:hAnsi="宋体" w:cs="仿宋"/>
                <w:kern w:val="0"/>
                <w:szCs w:val="21"/>
              </w:rPr>
              <w:br w:type="textWrapping"/>
            </w:r>
            <w:r>
              <w:rPr>
                <w:rFonts w:hint="eastAsia" w:ascii="宋体" w:hAnsi="宋体" w:cs="仿宋"/>
                <w:kern w:val="0"/>
                <w:szCs w:val="21"/>
              </w:rPr>
              <w:t>11.中华人民共和国精神卫生法（主席令第62号）；</w:t>
            </w:r>
          </w:p>
          <w:p>
            <w:pPr>
              <w:widowControl/>
              <w:spacing w:line="320" w:lineRule="exact"/>
              <w:rPr>
                <w:rFonts w:ascii="宋体" w:hAnsi="宋体" w:cs="仿宋"/>
                <w:kern w:val="0"/>
                <w:szCs w:val="21"/>
              </w:rPr>
            </w:pPr>
            <w:r>
              <w:rPr>
                <w:rFonts w:hint="eastAsia" w:ascii="宋体" w:hAnsi="宋体" w:cs="仿宋"/>
                <w:kern w:val="0"/>
                <w:szCs w:val="21"/>
              </w:rPr>
              <w:t>12.学生伤害事故处理办法（教育部令第12号）；</w:t>
            </w:r>
          </w:p>
          <w:p>
            <w:pPr>
              <w:widowControl/>
              <w:spacing w:line="320" w:lineRule="exact"/>
              <w:rPr>
                <w:rFonts w:ascii="宋体" w:hAnsi="宋体" w:cs="仿宋"/>
                <w:kern w:val="0"/>
                <w:szCs w:val="21"/>
              </w:rPr>
            </w:pPr>
            <w:r>
              <w:rPr>
                <w:rFonts w:hint="eastAsia" w:ascii="宋体" w:hAnsi="宋体" w:cs="仿宋"/>
                <w:kern w:val="0"/>
                <w:szCs w:val="21"/>
              </w:rPr>
              <w:t>13.普通高等学校学生管理规定（教育部令第41号）；</w:t>
            </w:r>
          </w:p>
          <w:p>
            <w:pPr>
              <w:widowControl/>
              <w:spacing w:line="320" w:lineRule="exact"/>
              <w:rPr>
                <w:rFonts w:ascii="宋体" w:hAnsi="宋体" w:cs="仿宋"/>
                <w:kern w:val="0"/>
                <w:szCs w:val="21"/>
              </w:rPr>
            </w:pPr>
            <w:r>
              <w:rPr>
                <w:rFonts w:hint="eastAsia" w:ascii="宋体" w:hAnsi="宋体" w:cs="仿宋"/>
                <w:kern w:val="0"/>
                <w:szCs w:val="21"/>
              </w:rPr>
              <w:t>14.普通高等学校辅导员队伍建设规定（教育部令第43号）；</w:t>
            </w:r>
          </w:p>
          <w:p>
            <w:pPr>
              <w:widowControl/>
              <w:spacing w:line="320" w:lineRule="exact"/>
              <w:rPr>
                <w:rFonts w:ascii="宋体" w:hAnsi="宋体" w:cs="仿宋"/>
                <w:kern w:val="0"/>
                <w:szCs w:val="21"/>
              </w:rPr>
            </w:pPr>
            <w:r>
              <w:rPr>
                <w:rFonts w:hint="eastAsia" w:ascii="宋体" w:hAnsi="宋体" w:cs="仿宋"/>
                <w:kern w:val="0"/>
                <w:szCs w:val="21"/>
              </w:rPr>
              <w:t>15.高等学校辅导员职业能力标准（暂行）（教思政[2014]2号）；</w:t>
            </w:r>
          </w:p>
          <w:p>
            <w:pPr>
              <w:widowControl/>
              <w:spacing w:line="320" w:lineRule="exact"/>
              <w:rPr>
                <w:rFonts w:ascii="宋体" w:hAnsi="宋体" w:cs="仿宋"/>
                <w:kern w:val="0"/>
                <w:szCs w:val="21"/>
              </w:rPr>
            </w:pPr>
            <w:r>
              <w:rPr>
                <w:rFonts w:hint="eastAsia" w:ascii="宋体" w:hAnsi="宋体" w:cs="仿宋"/>
                <w:kern w:val="0"/>
                <w:szCs w:val="21"/>
              </w:rPr>
              <w:t>16.关于加强和改进新形势下高校思想政治工作的意见（中共中央、国务院，2017年2月）；</w:t>
            </w:r>
          </w:p>
          <w:p>
            <w:pPr>
              <w:widowControl/>
              <w:spacing w:line="320" w:lineRule="exact"/>
              <w:rPr>
                <w:rFonts w:ascii="宋体" w:hAnsi="宋体" w:cs="仿宋"/>
                <w:kern w:val="0"/>
                <w:szCs w:val="21"/>
              </w:rPr>
            </w:pPr>
            <w:r>
              <w:rPr>
                <w:rFonts w:hint="eastAsia" w:ascii="宋体" w:hAnsi="宋体" w:cs="仿宋"/>
                <w:kern w:val="0"/>
                <w:szCs w:val="21"/>
              </w:rPr>
              <w:t>17.教育部卫生部共青团中央进一步加强和改进大学生心理健康教育的意见（教社政[2005]1号）；</w:t>
            </w:r>
          </w:p>
          <w:p>
            <w:pPr>
              <w:widowControl/>
              <w:spacing w:line="320" w:lineRule="exact"/>
              <w:rPr>
                <w:rFonts w:ascii="宋体" w:hAnsi="宋体" w:cs="仿宋"/>
                <w:kern w:val="0"/>
                <w:szCs w:val="21"/>
              </w:rPr>
            </w:pPr>
            <w:r>
              <w:rPr>
                <w:rFonts w:hint="eastAsia" w:ascii="宋体" w:hAnsi="宋体" w:cs="仿宋"/>
                <w:kern w:val="0"/>
                <w:szCs w:val="21"/>
              </w:rPr>
              <w:t>18.中共教育部党组关于印发《高等学校学生心理健康教育指导纲要》的通知（教党[2018]41号）；</w:t>
            </w:r>
          </w:p>
          <w:p>
            <w:pPr>
              <w:widowControl/>
              <w:spacing w:line="320" w:lineRule="exact"/>
            </w:pPr>
            <w:r>
              <w:rPr>
                <w:rFonts w:hint="eastAsia" w:ascii="宋体" w:hAnsi="宋体" w:cs="仿宋"/>
                <w:kern w:val="0"/>
                <w:szCs w:val="21"/>
              </w:rPr>
              <w:t>19.</w:t>
            </w:r>
            <w:r>
              <w:rPr>
                <w:rFonts w:hint="eastAsia"/>
              </w:rPr>
              <w:t>浙江省普通高等学校学生心理健康教育工作基本建设标准（浙教宣</w:t>
            </w:r>
            <w:r>
              <w:rPr>
                <w:rFonts w:hint="eastAsia" w:ascii="宋体" w:hAnsi="宋体" w:cs="仿宋"/>
                <w:kern w:val="0"/>
                <w:szCs w:val="21"/>
              </w:rPr>
              <w:t>[2019]</w:t>
            </w:r>
            <w:r>
              <w:rPr>
                <w:rFonts w:hint="eastAsia"/>
              </w:rPr>
              <w:t>51号）；</w:t>
            </w:r>
          </w:p>
          <w:p>
            <w:pPr>
              <w:widowControl/>
              <w:spacing w:line="320" w:lineRule="exact"/>
              <w:rPr>
                <w:rFonts w:ascii="宋体" w:hAnsi="宋体" w:cs="仿宋"/>
                <w:kern w:val="0"/>
                <w:szCs w:val="21"/>
              </w:rPr>
            </w:pPr>
            <w:r>
              <w:rPr>
                <w:rFonts w:hint="eastAsia"/>
              </w:rPr>
              <w:t>20.浙江省精神卫生条例，2019年修订；</w:t>
            </w:r>
          </w:p>
          <w:p>
            <w:pPr>
              <w:widowControl/>
              <w:spacing w:line="320" w:lineRule="exact"/>
              <w:rPr>
                <w:rFonts w:ascii="宋体" w:hAnsi="宋体"/>
                <w:szCs w:val="21"/>
              </w:rPr>
            </w:pPr>
            <w:r>
              <w:rPr>
                <w:rFonts w:hint="eastAsia" w:ascii="宋体" w:hAnsi="宋体" w:cs="仿宋"/>
                <w:kern w:val="0"/>
                <w:szCs w:val="21"/>
              </w:rPr>
              <w:t>21.高校思想政治工作质量提升工程实施纲要（教党[2017]62号）；</w:t>
            </w:r>
            <w:r>
              <w:rPr>
                <w:rFonts w:hint="eastAsia" w:ascii="宋体" w:hAnsi="宋体" w:cs="仿宋"/>
                <w:kern w:val="0"/>
                <w:szCs w:val="21"/>
              </w:rPr>
              <w:br w:type="textWrapping"/>
            </w:r>
            <w:r>
              <w:rPr>
                <w:rFonts w:hint="eastAsia" w:ascii="宋体" w:hAnsi="宋体" w:cs="仿宋"/>
                <w:kern w:val="0"/>
                <w:szCs w:val="21"/>
              </w:rPr>
              <w:t>22.刘利华，学校常用工作文书写作规范与范例，广西人民出版社，2008年出版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1668" w:type="dxa"/>
            <w:vAlign w:val="center"/>
          </w:tcPr>
          <w:p>
            <w:pPr>
              <w:widowControl/>
              <w:spacing w:line="360" w:lineRule="atLeast"/>
              <w:jc w:val="center"/>
              <w:rPr>
                <w:rFonts w:ascii="Helvetica" w:hAnsi="Helvetica" w:cs="Helvetica"/>
                <w:b/>
                <w:color w:val="FF0000"/>
                <w:kern w:val="0"/>
                <w:szCs w:val="21"/>
              </w:rPr>
            </w:pPr>
            <w:r>
              <w:rPr>
                <w:rFonts w:hint="eastAsia" w:ascii="宋体" w:hAnsi="宋体" w:cs="仿宋_GB2312"/>
                <w:szCs w:val="21"/>
                <w:lang w:val="zh-CN"/>
              </w:rPr>
              <w:t>试卷三</w:t>
            </w:r>
          </w:p>
        </w:tc>
        <w:tc>
          <w:tcPr>
            <w:tcW w:w="1842" w:type="dxa"/>
            <w:vAlign w:val="center"/>
          </w:tcPr>
          <w:p>
            <w:pPr>
              <w:autoSpaceDE w:val="0"/>
              <w:autoSpaceDN w:val="0"/>
              <w:adjustRightInd w:val="0"/>
              <w:spacing w:line="260" w:lineRule="exact"/>
              <w:jc w:val="center"/>
              <w:rPr>
                <w:rFonts w:ascii="宋体" w:hAnsi="宋体" w:cs="仿宋_GB2312"/>
                <w:szCs w:val="21"/>
                <w:lang w:val="zh-CN"/>
              </w:rPr>
            </w:pPr>
            <w:r>
              <w:rPr>
                <w:rFonts w:hint="eastAsia" w:ascii="宋体" w:hAnsi="宋体" w:cs="仿宋_GB2312"/>
                <w:szCs w:val="21"/>
                <w:lang w:val="zh-CN"/>
              </w:rPr>
              <w:t>财务管理</w:t>
            </w:r>
          </w:p>
          <w:p>
            <w:pPr>
              <w:autoSpaceDE w:val="0"/>
              <w:autoSpaceDN w:val="0"/>
              <w:adjustRightInd w:val="0"/>
              <w:spacing w:line="260" w:lineRule="exact"/>
              <w:jc w:val="center"/>
              <w:rPr>
                <w:rFonts w:ascii="宋体" w:hAnsi="宋体" w:cs="仿宋_GB2312"/>
                <w:szCs w:val="21"/>
                <w:lang w:val="zh-CN"/>
              </w:rPr>
            </w:pPr>
            <w:r>
              <w:rPr>
                <w:rFonts w:hint="eastAsia" w:ascii="宋体" w:hAnsi="宋体" w:cs="仿宋_GB2312"/>
                <w:b/>
                <w:szCs w:val="21"/>
                <w:lang w:val="zh-CN"/>
              </w:rPr>
              <w:t>（</w:t>
            </w:r>
            <w:r>
              <w:rPr>
                <w:rFonts w:hint="eastAsia" w:ascii="宋体" w:hAnsi="宋体" w:cs="仿宋_GB2312"/>
                <w:szCs w:val="21"/>
                <w:lang w:val="zh-CN"/>
              </w:rPr>
              <w:t>电算化方向）</w:t>
            </w:r>
          </w:p>
        </w:tc>
        <w:tc>
          <w:tcPr>
            <w:tcW w:w="1276" w:type="dxa"/>
            <w:vAlign w:val="center"/>
          </w:tcPr>
          <w:p>
            <w:pPr>
              <w:jc w:val="center"/>
              <w:rPr>
                <w:rFonts w:ascii="宋体" w:hAnsi="宋体" w:cs="宋体"/>
                <w:color w:val="000000"/>
                <w:szCs w:val="20"/>
              </w:rPr>
            </w:pPr>
            <w:r>
              <w:rPr>
                <w:rFonts w:ascii="宋体" w:hAnsi="宋体" w:cs="宋体"/>
                <w:color w:val="000000"/>
                <w:szCs w:val="20"/>
              </w:rPr>
              <w:t>单选题</w:t>
            </w:r>
          </w:p>
          <w:p>
            <w:pPr>
              <w:jc w:val="center"/>
              <w:rPr>
                <w:rFonts w:ascii="宋体" w:hAnsi="宋体" w:cs="宋体"/>
                <w:color w:val="000000"/>
                <w:szCs w:val="20"/>
              </w:rPr>
            </w:pPr>
            <w:r>
              <w:rPr>
                <w:rFonts w:hint="eastAsia" w:ascii="宋体" w:hAnsi="宋体" w:cs="宋体"/>
                <w:color w:val="000000"/>
                <w:szCs w:val="20"/>
              </w:rPr>
              <w:t>简答题</w:t>
            </w:r>
          </w:p>
          <w:p>
            <w:pPr>
              <w:jc w:val="center"/>
              <w:rPr>
                <w:rFonts w:ascii="宋体" w:hAnsi="宋体" w:cs="宋体"/>
                <w:color w:val="000000"/>
                <w:szCs w:val="20"/>
              </w:rPr>
            </w:pPr>
            <w:r>
              <w:rPr>
                <w:rFonts w:ascii="宋体" w:hAnsi="宋体" w:cs="宋体"/>
                <w:color w:val="000000"/>
                <w:szCs w:val="20"/>
              </w:rPr>
              <w:t>应用题</w:t>
            </w:r>
          </w:p>
          <w:p>
            <w:pPr>
              <w:spacing w:line="260" w:lineRule="exact"/>
              <w:jc w:val="center"/>
              <w:rPr>
                <w:rFonts w:ascii="宋体" w:hAnsi="宋体"/>
                <w:szCs w:val="21"/>
              </w:rPr>
            </w:pPr>
          </w:p>
        </w:tc>
        <w:tc>
          <w:tcPr>
            <w:tcW w:w="9388" w:type="dxa"/>
            <w:vAlign w:val="center"/>
          </w:tcPr>
          <w:p>
            <w:pPr>
              <w:widowControl/>
              <w:spacing w:line="320" w:lineRule="exact"/>
            </w:pPr>
            <w:r>
              <w:rPr>
                <w:rFonts w:hint="eastAsia"/>
              </w:rPr>
              <w:t>1.中级会计实务、财务管理</w:t>
            </w:r>
          </w:p>
          <w:p>
            <w:pPr>
              <w:widowControl/>
              <w:spacing w:line="320" w:lineRule="exact"/>
            </w:pPr>
            <w:r>
              <w:rPr>
                <w:rFonts w:hint="eastAsia"/>
              </w:rPr>
              <w:t>备注：2019年全国会计专业技术资格考试辅导教材（财政部会计资格评审中心编）；</w:t>
            </w:r>
          </w:p>
          <w:p>
            <w:pPr>
              <w:widowControl/>
              <w:spacing w:line="320" w:lineRule="exact"/>
            </w:pPr>
            <w:r>
              <w:rPr>
                <w:rFonts w:hint="eastAsia"/>
              </w:rPr>
              <w:t>2.《2020年版全国计算机等级考试三级教程：数据库技术》第7章数据库及数据库对象，高等教育出版社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3" w:hRule="atLeast"/>
        </w:trPr>
        <w:tc>
          <w:tcPr>
            <w:tcW w:w="1668" w:type="dxa"/>
            <w:vAlign w:val="center"/>
          </w:tcPr>
          <w:p>
            <w:pPr>
              <w:widowControl/>
              <w:spacing w:line="360" w:lineRule="atLeast"/>
              <w:jc w:val="center"/>
              <w:rPr>
                <w:rFonts w:ascii="Helvetica" w:hAnsi="Helvetica" w:cs="Helvetica"/>
                <w:b/>
                <w:color w:val="FF0000"/>
                <w:kern w:val="0"/>
                <w:szCs w:val="21"/>
              </w:rPr>
            </w:pPr>
            <w:r>
              <w:rPr>
                <w:rFonts w:hint="eastAsia" w:ascii="宋体" w:hAnsi="宋体" w:cs="仿宋_GB2312"/>
                <w:szCs w:val="21"/>
                <w:lang w:val="zh-CN"/>
              </w:rPr>
              <w:t>试卷三</w:t>
            </w:r>
          </w:p>
        </w:tc>
        <w:tc>
          <w:tcPr>
            <w:tcW w:w="1842" w:type="dxa"/>
            <w:vAlign w:val="center"/>
          </w:tcPr>
          <w:p>
            <w:pPr>
              <w:autoSpaceDE w:val="0"/>
              <w:autoSpaceDN w:val="0"/>
              <w:adjustRightInd w:val="0"/>
              <w:jc w:val="center"/>
              <w:rPr>
                <w:rFonts w:ascii="宋体" w:hAnsi="宋体" w:cs="仿宋_GB2312"/>
                <w:szCs w:val="21"/>
                <w:lang w:val="zh-CN"/>
              </w:rPr>
            </w:pPr>
            <w:r>
              <w:rPr>
                <w:rFonts w:hint="eastAsia" w:ascii="宋体" w:hAnsi="宋体" w:cs="仿宋_GB2312"/>
                <w:szCs w:val="21"/>
                <w:lang w:val="zh-CN"/>
              </w:rPr>
              <w:t>教学秘书</w:t>
            </w:r>
          </w:p>
        </w:tc>
        <w:tc>
          <w:tcPr>
            <w:tcW w:w="1276" w:type="dxa"/>
            <w:vAlign w:val="center"/>
          </w:tcPr>
          <w:p>
            <w:pPr>
              <w:jc w:val="center"/>
              <w:rPr>
                <w:rFonts w:ascii="宋体" w:hAnsi="宋体"/>
                <w:kern w:val="0"/>
                <w:szCs w:val="21"/>
              </w:rPr>
            </w:pPr>
            <w:r>
              <w:rPr>
                <w:rFonts w:hint="eastAsia" w:ascii="宋体" w:hAnsi="宋体"/>
                <w:kern w:val="0"/>
                <w:szCs w:val="21"/>
              </w:rPr>
              <w:t>选择题</w:t>
            </w:r>
          </w:p>
          <w:p>
            <w:pPr>
              <w:jc w:val="center"/>
              <w:rPr>
                <w:rFonts w:ascii="宋体" w:hAnsi="宋体" w:cs="宋体"/>
                <w:color w:val="000000"/>
                <w:szCs w:val="20"/>
              </w:rPr>
            </w:pPr>
            <w:r>
              <w:rPr>
                <w:rFonts w:hint="eastAsia" w:ascii="宋体" w:hAnsi="宋体" w:cs="宋体"/>
                <w:color w:val="000000"/>
                <w:szCs w:val="20"/>
              </w:rPr>
              <w:t>简答题</w:t>
            </w:r>
          </w:p>
          <w:p>
            <w:pPr>
              <w:jc w:val="center"/>
              <w:rPr>
                <w:rFonts w:ascii="仿宋" w:hAnsi="仿宋" w:eastAsia="仿宋"/>
                <w:sz w:val="24"/>
              </w:rPr>
            </w:pPr>
            <w:r>
              <w:rPr>
                <w:rFonts w:hint="eastAsia" w:ascii="宋体" w:hAnsi="宋体" w:cs="宋体"/>
                <w:color w:val="000000"/>
                <w:szCs w:val="20"/>
              </w:rPr>
              <w:t>论述题</w:t>
            </w:r>
          </w:p>
        </w:tc>
        <w:tc>
          <w:tcPr>
            <w:tcW w:w="9388" w:type="dxa"/>
            <w:vAlign w:val="center"/>
          </w:tcPr>
          <w:p>
            <w:pPr>
              <w:widowControl/>
              <w:spacing w:line="320" w:lineRule="exact"/>
            </w:pPr>
            <w:r>
              <w:rPr>
                <w:rFonts w:hint="eastAsia"/>
              </w:rPr>
              <w:t>1.国家职业教育改革实施方案；</w:t>
            </w:r>
          </w:p>
          <w:p>
            <w:pPr>
              <w:widowControl/>
              <w:spacing w:line="320" w:lineRule="exact"/>
              <w:rPr>
                <w:lang w:val="zh-CN"/>
              </w:rPr>
            </w:pPr>
            <w:r>
              <w:rPr>
                <w:rFonts w:hint="eastAsia"/>
              </w:rPr>
              <w:t>2.</w:t>
            </w:r>
            <w:r>
              <w:rPr>
                <w:rFonts w:hint="eastAsia"/>
                <w:lang w:val="zh-CN"/>
              </w:rPr>
              <w:t>习近平总书记全国教育大会讲话精神，2018年9月；</w:t>
            </w:r>
          </w:p>
          <w:p>
            <w:pPr>
              <w:widowControl/>
              <w:spacing w:line="320" w:lineRule="exact"/>
            </w:pPr>
            <w:r>
              <w:rPr>
                <w:rFonts w:hint="eastAsia"/>
              </w:rPr>
              <w:t>3.</w:t>
            </w:r>
            <w:r>
              <w:rPr>
                <w:rFonts w:hint="eastAsia"/>
                <w:lang w:val="zh-CN"/>
              </w:rPr>
              <w:t>国家旅游局教育部关于加快发展现代旅游职业教育的指导意见（</w:t>
            </w:r>
            <w:r>
              <w:rPr>
                <w:rFonts w:hint="eastAsia"/>
              </w:rPr>
              <w:t>旅发[2015]241号）；</w:t>
            </w:r>
          </w:p>
          <w:p>
            <w:pPr>
              <w:widowControl/>
              <w:spacing w:line="320" w:lineRule="exact"/>
              <w:rPr>
                <w:lang w:val="zh-CN"/>
              </w:rPr>
            </w:pPr>
            <w:r>
              <w:rPr>
                <w:rFonts w:hint="eastAsia"/>
                <w:lang w:val="zh-CN"/>
              </w:rPr>
              <w:t>4.浙江省中长期教育改革和发展规划纲要（2010—2020年）；</w:t>
            </w:r>
            <w:r>
              <w:rPr>
                <w:rFonts w:hint="eastAsia"/>
                <w:lang w:val="zh-CN"/>
              </w:rPr>
              <w:br w:type="textWrapping"/>
            </w:r>
            <w:r>
              <w:rPr>
                <w:rFonts w:hint="eastAsia"/>
                <w:lang w:val="zh-CN"/>
              </w:rPr>
              <w:t>5.国务院关于加快发展现代职业教育的决定（国发[2014]19号）；</w:t>
            </w:r>
            <w:r>
              <w:rPr>
                <w:rFonts w:hint="eastAsia"/>
                <w:lang w:val="zh-CN"/>
              </w:rPr>
              <w:br w:type="textWrapping"/>
            </w:r>
            <w:r>
              <w:rPr>
                <w:rFonts w:hint="eastAsia"/>
                <w:lang w:val="zh-CN"/>
              </w:rPr>
              <w:t>6.刘利华，学校常用工作文书写作规范与范例，广西人民出版社，2008年出版；</w:t>
            </w:r>
          </w:p>
          <w:p>
            <w:pPr>
              <w:widowControl/>
              <w:spacing w:line="320" w:lineRule="exact"/>
              <w:rPr>
                <w:lang w:val="zh-CN"/>
              </w:rPr>
            </w:pPr>
            <w:r>
              <w:rPr>
                <w:rFonts w:hint="eastAsia"/>
                <w:lang w:val="zh-CN"/>
              </w:rPr>
              <w:t>7.《中华人民共和国高等教育法》；</w:t>
            </w:r>
          </w:p>
          <w:p>
            <w:pPr>
              <w:widowControl/>
              <w:spacing w:line="320" w:lineRule="exact"/>
              <w:rPr>
                <w:rFonts w:ascii="宋体" w:hAnsi="宋体"/>
                <w:szCs w:val="21"/>
              </w:rPr>
            </w:pPr>
            <w:r>
              <w:rPr>
                <w:rFonts w:hint="eastAsia"/>
                <w:lang w:val="zh-CN"/>
              </w:rPr>
              <w:t>8.《中华人民共和国职业教育法》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1668" w:type="dxa"/>
            <w:vAlign w:val="center"/>
          </w:tcPr>
          <w:p>
            <w:pPr>
              <w:widowControl/>
              <w:spacing w:line="360" w:lineRule="atLeast"/>
              <w:jc w:val="center"/>
              <w:rPr>
                <w:rFonts w:ascii="Helvetica" w:hAnsi="Helvetica" w:cs="Helvetica"/>
                <w:b/>
                <w:color w:val="FF0000"/>
                <w:kern w:val="0"/>
                <w:szCs w:val="21"/>
              </w:rPr>
            </w:pPr>
          </w:p>
          <w:p>
            <w:pPr>
              <w:widowControl/>
              <w:spacing w:line="360" w:lineRule="atLeast"/>
              <w:jc w:val="center"/>
              <w:rPr>
                <w:rFonts w:ascii="Helvetica" w:hAnsi="Helvetica" w:cs="Helvetica"/>
                <w:b/>
                <w:color w:val="FF0000"/>
                <w:kern w:val="0"/>
                <w:szCs w:val="21"/>
              </w:rPr>
            </w:pPr>
            <w:r>
              <w:rPr>
                <w:rFonts w:hint="eastAsia" w:ascii="宋体" w:hAnsi="宋体" w:cs="仿宋_GB2312"/>
                <w:szCs w:val="21"/>
                <w:lang w:val="zh-CN"/>
              </w:rPr>
              <w:t>试卷三</w:t>
            </w:r>
          </w:p>
        </w:tc>
        <w:tc>
          <w:tcPr>
            <w:tcW w:w="1842" w:type="dxa"/>
            <w:vAlign w:val="center"/>
          </w:tcPr>
          <w:p>
            <w:pPr>
              <w:autoSpaceDE w:val="0"/>
              <w:autoSpaceDN w:val="0"/>
              <w:adjustRightInd w:val="0"/>
              <w:spacing w:line="400" w:lineRule="exact"/>
              <w:jc w:val="center"/>
              <w:rPr>
                <w:rFonts w:ascii="宋体" w:hAnsi="宋体" w:cs="仿宋_GB2312"/>
                <w:szCs w:val="21"/>
                <w:lang w:val="zh-CN"/>
              </w:rPr>
            </w:pPr>
            <w:r>
              <w:rPr>
                <w:rFonts w:hint="eastAsia" w:ascii="宋体" w:hAnsi="宋体" w:cs="仿宋_GB2312"/>
                <w:szCs w:val="21"/>
                <w:lang w:val="zh-CN"/>
              </w:rPr>
              <w:t>千岛湖校区</w:t>
            </w:r>
          </w:p>
          <w:p>
            <w:pPr>
              <w:autoSpaceDE w:val="0"/>
              <w:autoSpaceDN w:val="0"/>
              <w:adjustRightInd w:val="0"/>
              <w:spacing w:line="400" w:lineRule="exact"/>
              <w:jc w:val="center"/>
              <w:rPr>
                <w:rFonts w:ascii="宋体" w:hAnsi="宋体" w:cs="仿宋_GB2312"/>
                <w:szCs w:val="21"/>
                <w:lang w:val="zh-CN"/>
              </w:rPr>
            </w:pPr>
            <w:r>
              <w:rPr>
                <w:rFonts w:hint="eastAsia" w:ascii="宋体" w:hAnsi="宋体" w:cs="仿宋_GB2312"/>
                <w:szCs w:val="21"/>
                <w:lang w:val="zh-CN"/>
              </w:rPr>
              <w:t>安全保卫干事</w:t>
            </w:r>
          </w:p>
        </w:tc>
        <w:tc>
          <w:tcPr>
            <w:tcW w:w="1276" w:type="dxa"/>
            <w:vAlign w:val="center"/>
          </w:tcPr>
          <w:p>
            <w:pPr>
              <w:jc w:val="center"/>
              <w:rPr>
                <w:rFonts w:ascii="宋体" w:hAnsi="宋体" w:cs="宋体"/>
                <w:color w:val="000000"/>
                <w:szCs w:val="20"/>
              </w:rPr>
            </w:pPr>
            <w:r>
              <w:rPr>
                <w:rFonts w:hint="eastAsia" w:ascii="宋体" w:hAnsi="宋体" w:cs="宋体"/>
                <w:color w:val="000000"/>
                <w:szCs w:val="20"/>
              </w:rPr>
              <w:t>单选题</w:t>
            </w:r>
          </w:p>
          <w:p>
            <w:pPr>
              <w:jc w:val="center"/>
              <w:rPr>
                <w:rFonts w:ascii="宋体" w:hAnsi="宋体" w:cs="宋体"/>
                <w:color w:val="000000"/>
                <w:szCs w:val="20"/>
              </w:rPr>
            </w:pPr>
            <w:r>
              <w:rPr>
                <w:rFonts w:hint="eastAsia" w:ascii="宋体" w:hAnsi="宋体" w:cs="宋体"/>
                <w:color w:val="000000"/>
                <w:szCs w:val="20"/>
              </w:rPr>
              <w:t>简答题</w:t>
            </w:r>
          </w:p>
          <w:p>
            <w:pPr>
              <w:spacing w:line="360" w:lineRule="exact"/>
              <w:jc w:val="center"/>
              <w:rPr>
                <w:rFonts w:ascii="宋体" w:hAnsi="宋体"/>
                <w:szCs w:val="21"/>
              </w:rPr>
            </w:pPr>
            <w:r>
              <w:rPr>
                <w:rFonts w:hint="eastAsia" w:ascii="宋体" w:hAnsi="宋体" w:cs="宋体"/>
                <w:color w:val="000000"/>
                <w:szCs w:val="20"/>
              </w:rPr>
              <w:t>应用题</w:t>
            </w:r>
          </w:p>
        </w:tc>
        <w:tc>
          <w:tcPr>
            <w:tcW w:w="9388" w:type="dxa"/>
            <w:vAlign w:val="center"/>
          </w:tcPr>
          <w:p>
            <w:pPr>
              <w:widowControl/>
              <w:spacing w:line="320" w:lineRule="exact"/>
              <w:rPr>
                <w:lang w:val="zh-CN"/>
              </w:rPr>
            </w:pPr>
            <w:r>
              <w:rPr>
                <w:rFonts w:hint="eastAsia"/>
                <w:lang w:val="zh-CN"/>
              </w:rPr>
              <w:t>1.国家旅游局教育部关于加快发展现代旅游职业教育的指导意见（旅发[2015]241号）；</w:t>
            </w:r>
          </w:p>
          <w:p>
            <w:pPr>
              <w:widowControl/>
              <w:spacing w:line="320" w:lineRule="exact"/>
              <w:rPr>
                <w:lang w:val="zh-CN"/>
              </w:rPr>
            </w:pPr>
            <w:r>
              <w:rPr>
                <w:rFonts w:hint="eastAsia"/>
                <w:lang w:val="zh-CN"/>
              </w:rPr>
              <w:t>2.高等职业教育创新发展行动计划（2015-2018年）（教职成[2015]9号）；</w:t>
            </w:r>
          </w:p>
          <w:p>
            <w:pPr>
              <w:widowControl/>
              <w:spacing w:line="320" w:lineRule="exact"/>
              <w:rPr>
                <w:lang w:val="zh-CN"/>
              </w:rPr>
            </w:pPr>
            <w:r>
              <w:rPr>
                <w:rFonts w:hint="eastAsia"/>
                <w:lang w:val="zh-CN"/>
              </w:rPr>
              <w:t>3.浙江省中长期教育改革和发展规划纲要（2010—2020年）；</w:t>
            </w:r>
          </w:p>
          <w:p>
            <w:pPr>
              <w:widowControl/>
              <w:spacing w:line="320" w:lineRule="exact"/>
              <w:rPr>
                <w:lang w:val="zh-CN"/>
              </w:rPr>
            </w:pPr>
            <w:r>
              <w:rPr>
                <w:rFonts w:hint="eastAsia"/>
                <w:lang w:val="zh-CN"/>
              </w:rPr>
              <w:t>4.国务院关于加快发展现代职业教育的决定（国发[2014]19号）；</w:t>
            </w:r>
          </w:p>
          <w:p>
            <w:pPr>
              <w:widowControl/>
              <w:spacing w:line="320" w:lineRule="exact"/>
              <w:rPr>
                <w:lang w:val="zh-CN"/>
              </w:rPr>
            </w:pPr>
            <w:r>
              <w:rPr>
                <w:rFonts w:hint="eastAsia"/>
                <w:lang w:val="zh-CN"/>
              </w:rPr>
              <w:t>5.刘利华，学校常用工作文书写作规范与范例，广西人民出版社，2008年出版；</w:t>
            </w:r>
          </w:p>
          <w:p>
            <w:pPr>
              <w:widowControl/>
              <w:spacing w:line="320" w:lineRule="exact"/>
              <w:rPr>
                <w:lang w:val="zh-CN"/>
              </w:rPr>
            </w:pPr>
            <w:r>
              <w:rPr>
                <w:rFonts w:hint="eastAsia"/>
                <w:lang w:val="zh-CN"/>
              </w:rPr>
              <w:t>6.王惠兰，新时期高校安全保卫工作创新研究，南开大学出版社，2015年版；</w:t>
            </w:r>
          </w:p>
          <w:p>
            <w:pPr>
              <w:widowControl/>
              <w:spacing w:line="320" w:lineRule="exact"/>
              <w:rPr>
                <w:lang w:val="zh-CN"/>
              </w:rPr>
            </w:pPr>
            <w:r>
              <w:rPr>
                <w:rFonts w:hint="eastAsia"/>
                <w:lang w:val="zh-CN"/>
              </w:rPr>
              <w:t>7.中华人民共和国治安管理处罚法，法律出版社，2014年出版；</w:t>
            </w:r>
          </w:p>
          <w:p>
            <w:pPr>
              <w:widowControl/>
              <w:spacing w:line="320" w:lineRule="exact"/>
              <w:rPr>
                <w:lang w:val="zh-CN"/>
              </w:rPr>
            </w:pPr>
            <w:r>
              <w:rPr>
                <w:rFonts w:hint="eastAsia"/>
                <w:lang w:val="zh-CN"/>
              </w:rPr>
              <w:t xml:space="preserve">8.中华人民共和国消防法； </w:t>
            </w:r>
          </w:p>
          <w:p>
            <w:pPr>
              <w:widowControl/>
              <w:spacing w:line="320" w:lineRule="exact"/>
              <w:rPr>
                <w:lang w:val="zh-CN"/>
              </w:rPr>
            </w:pPr>
            <w:r>
              <w:rPr>
                <w:rFonts w:hint="eastAsia"/>
                <w:lang w:val="zh-CN"/>
              </w:rPr>
              <w:t>9.中华人民共和国交通安全法；</w:t>
            </w:r>
          </w:p>
          <w:p>
            <w:pPr>
              <w:widowControl/>
              <w:spacing w:line="320" w:lineRule="exact"/>
              <w:rPr>
                <w:lang w:val="zh-CN"/>
              </w:rPr>
            </w:pPr>
            <w:r>
              <w:rPr>
                <w:rFonts w:hint="eastAsia"/>
                <w:lang w:val="zh-CN"/>
              </w:rPr>
              <w:t>10.中华人民共和国刑法；</w:t>
            </w:r>
          </w:p>
          <w:p>
            <w:pPr>
              <w:widowControl/>
              <w:spacing w:line="320" w:lineRule="exact"/>
              <w:rPr>
                <w:lang w:val="zh-CN"/>
              </w:rPr>
            </w:pPr>
            <w:r>
              <w:rPr>
                <w:rFonts w:hint="eastAsia"/>
                <w:lang w:val="zh-CN"/>
              </w:rPr>
              <w:t>11.普通高等学校学生管理规定（教育部令第21号）；</w:t>
            </w:r>
          </w:p>
          <w:p>
            <w:pPr>
              <w:widowControl/>
              <w:spacing w:line="320" w:lineRule="exact"/>
              <w:rPr>
                <w:lang w:val="zh-CN"/>
              </w:rPr>
            </w:pPr>
            <w:r>
              <w:rPr>
                <w:rFonts w:hint="eastAsia"/>
                <w:lang w:val="zh-CN"/>
              </w:rPr>
              <w:t>12.中华人民共和国防法；</w:t>
            </w:r>
          </w:p>
          <w:p>
            <w:pPr>
              <w:widowControl/>
              <w:spacing w:line="320" w:lineRule="exact"/>
              <w:rPr>
                <w:lang w:val="zh-CN"/>
              </w:rPr>
            </w:pPr>
            <w:r>
              <w:rPr>
                <w:rFonts w:hint="eastAsia"/>
                <w:lang w:val="zh-CN"/>
              </w:rPr>
              <w:t>13.中华人民共和国兵役法；</w:t>
            </w:r>
          </w:p>
          <w:p>
            <w:pPr>
              <w:widowControl/>
              <w:spacing w:line="320" w:lineRule="exact"/>
              <w:rPr>
                <w:lang w:val="zh-CN"/>
              </w:rPr>
            </w:pPr>
            <w:r>
              <w:rPr>
                <w:rFonts w:hint="eastAsia"/>
                <w:lang w:val="zh-CN"/>
              </w:rPr>
              <w:t>14.中国人民解放军军事训练条例；</w:t>
            </w:r>
          </w:p>
          <w:p>
            <w:pPr>
              <w:widowControl/>
              <w:spacing w:line="320" w:lineRule="exact"/>
              <w:rPr>
                <w:szCs w:val="21"/>
              </w:rPr>
            </w:pPr>
            <w:r>
              <w:rPr>
                <w:rFonts w:hint="eastAsia"/>
                <w:lang w:val="zh-CN"/>
              </w:rPr>
              <w:t>15.国家职业教育改革实施方案（国发[2019]4号）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0" w:hRule="atLeast"/>
        </w:trPr>
        <w:tc>
          <w:tcPr>
            <w:tcW w:w="1668" w:type="dxa"/>
            <w:vAlign w:val="center"/>
          </w:tcPr>
          <w:p>
            <w:pPr>
              <w:widowControl/>
              <w:spacing w:line="360" w:lineRule="atLeast"/>
              <w:jc w:val="center"/>
              <w:rPr>
                <w:rFonts w:ascii="Helvetica" w:hAnsi="Helvetica" w:cs="Helvetica"/>
                <w:b/>
                <w:color w:val="FF0000"/>
                <w:kern w:val="0"/>
                <w:szCs w:val="21"/>
              </w:rPr>
            </w:pPr>
            <w:r>
              <w:rPr>
                <w:rFonts w:hint="eastAsia" w:ascii="宋体" w:hAnsi="宋体" w:cs="仿宋_GB2312"/>
                <w:szCs w:val="21"/>
                <w:lang w:val="zh-CN"/>
              </w:rPr>
              <w:t>试卷三</w:t>
            </w:r>
          </w:p>
        </w:tc>
        <w:tc>
          <w:tcPr>
            <w:tcW w:w="1842" w:type="dxa"/>
            <w:vAlign w:val="center"/>
          </w:tcPr>
          <w:p>
            <w:pPr>
              <w:autoSpaceDE w:val="0"/>
              <w:autoSpaceDN w:val="0"/>
              <w:adjustRightInd w:val="0"/>
              <w:spacing w:line="400" w:lineRule="exact"/>
              <w:jc w:val="center"/>
              <w:rPr>
                <w:rFonts w:ascii="宋体" w:hAnsi="宋体" w:cs="仿宋_GB2312"/>
                <w:szCs w:val="21"/>
                <w:lang w:val="zh-CN"/>
              </w:rPr>
            </w:pPr>
            <w:r>
              <w:rPr>
                <w:rFonts w:hint="eastAsia" w:ascii="宋体" w:hAnsi="宋体" w:cs="仿宋_GB2312"/>
                <w:szCs w:val="21"/>
                <w:lang w:val="zh-CN"/>
              </w:rPr>
              <w:t>千岛湖校区</w:t>
            </w:r>
          </w:p>
          <w:p>
            <w:pPr>
              <w:autoSpaceDE w:val="0"/>
              <w:autoSpaceDN w:val="0"/>
              <w:adjustRightInd w:val="0"/>
              <w:spacing w:line="400" w:lineRule="exact"/>
              <w:jc w:val="center"/>
              <w:rPr>
                <w:rFonts w:ascii="宋体" w:hAnsi="宋体" w:cs="仿宋_GB2312"/>
                <w:szCs w:val="21"/>
                <w:lang w:val="zh-CN"/>
              </w:rPr>
            </w:pPr>
            <w:r>
              <w:rPr>
                <w:rFonts w:hint="eastAsia" w:ascii="宋体" w:hAnsi="宋体" w:cs="仿宋_GB2312"/>
                <w:szCs w:val="21"/>
                <w:lang w:val="zh-CN"/>
              </w:rPr>
              <w:t>心理干事</w:t>
            </w:r>
          </w:p>
        </w:tc>
        <w:tc>
          <w:tcPr>
            <w:tcW w:w="1276" w:type="dxa"/>
            <w:vAlign w:val="center"/>
          </w:tcPr>
          <w:p>
            <w:pPr>
              <w:jc w:val="center"/>
              <w:rPr>
                <w:rFonts w:ascii="宋体" w:hAnsi="宋体" w:cs="宋体"/>
                <w:color w:val="000000"/>
                <w:szCs w:val="20"/>
              </w:rPr>
            </w:pPr>
            <w:r>
              <w:rPr>
                <w:rFonts w:hint="eastAsia" w:ascii="宋体" w:hAnsi="宋体" w:cs="宋体"/>
                <w:color w:val="000000"/>
                <w:szCs w:val="20"/>
              </w:rPr>
              <w:t>单选题</w:t>
            </w:r>
          </w:p>
          <w:p>
            <w:pPr>
              <w:jc w:val="center"/>
              <w:rPr>
                <w:rFonts w:ascii="宋体" w:hAnsi="宋体" w:cs="宋体"/>
                <w:color w:val="000000"/>
                <w:szCs w:val="20"/>
              </w:rPr>
            </w:pPr>
            <w:r>
              <w:rPr>
                <w:rFonts w:hint="eastAsia" w:ascii="宋体" w:hAnsi="宋体" w:cs="宋体"/>
                <w:color w:val="000000"/>
                <w:szCs w:val="20"/>
              </w:rPr>
              <w:t>简答题</w:t>
            </w:r>
          </w:p>
          <w:p>
            <w:pPr>
              <w:jc w:val="center"/>
              <w:rPr>
                <w:rFonts w:ascii="宋体" w:hAnsi="宋体" w:cs="宋体"/>
                <w:color w:val="000000"/>
                <w:szCs w:val="20"/>
              </w:rPr>
            </w:pPr>
            <w:r>
              <w:rPr>
                <w:rFonts w:hint="eastAsia" w:ascii="宋体" w:hAnsi="宋体" w:cs="宋体"/>
                <w:color w:val="000000"/>
                <w:szCs w:val="20"/>
              </w:rPr>
              <w:t>应用题</w:t>
            </w:r>
          </w:p>
        </w:tc>
        <w:tc>
          <w:tcPr>
            <w:tcW w:w="9388" w:type="dxa"/>
            <w:vAlign w:val="center"/>
          </w:tcPr>
          <w:p>
            <w:pPr>
              <w:autoSpaceDE w:val="0"/>
              <w:autoSpaceDN w:val="0"/>
              <w:adjustRightInd w:val="0"/>
              <w:spacing w:line="360" w:lineRule="exact"/>
              <w:rPr>
                <w:rFonts w:ascii="宋体" w:hAnsi="宋体" w:cs="宋体"/>
                <w:color w:val="000000"/>
                <w:szCs w:val="20"/>
              </w:rPr>
            </w:pPr>
            <w:r>
              <w:rPr>
                <w:rFonts w:hint="eastAsia" w:ascii="宋体" w:hAnsi="宋体" w:cs="宋体"/>
                <w:color w:val="000000"/>
                <w:szCs w:val="20"/>
              </w:rPr>
              <w:t>1.习近平新时代中国特色社会主义三十讲，</w:t>
            </w:r>
            <w:r>
              <w:fldChar w:fldCharType="begin"/>
            </w:r>
            <w:r>
              <w:instrText xml:space="preserve"> HYPERLINK "http://baike.baidu.com/view/37406.htm" \t "_blank" </w:instrText>
            </w:r>
            <w:r>
              <w:fldChar w:fldCharType="separate"/>
            </w:r>
            <w:r>
              <w:rPr>
                <w:rFonts w:hint="eastAsia" w:ascii="宋体" w:hAnsi="宋体" w:cs="宋体"/>
                <w:color w:val="000000"/>
                <w:szCs w:val="20"/>
              </w:rPr>
              <w:t>学习出版社</w:t>
            </w:r>
            <w:r>
              <w:rPr>
                <w:rFonts w:hint="eastAsia" w:ascii="宋体" w:hAnsi="宋体" w:cs="宋体"/>
                <w:color w:val="000000"/>
                <w:szCs w:val="20"/>
              </w:rPr>
              <w:fldChar w:fldCharType="end"/>
            </w:r>
            <w:r>
              <w:rPr>
                <w:rFonts w:hint="eastAsia" w:ascii="宋体" w:hAnsi="宋体" w:cs="宋体"/>
                <w:color w:val="000000"/>
                <w:szCs w:val="20"/>
              </w:rPr>
              <w:t>，2018年5月出版；</w:t>
            </w:r>
          </w:p>
          <w:p>
            <w:pPr>
              <w:autoSpaceDE w:val="0"/>
              <w:autoSpaceDN w:val="0"/>
              <w:adjustRightInd w:val="0"/>
              <w:spacing w:line="360" w:lineRule="exact"/>
              <w:rPr>
                <w:rFonts w:ascii="宋体" w:hAnsi="宋体" w:cs="宋体"/>
                <w:color w:val="000000"/>
                <w:szCs w:val="20"/>
              </w:rPr>
            </w:pPr>
            <w:r>
              <w:rPr>
                <w:rFonts w:hint="eastAsia" w:ascii="宋体" w:hAnsi="宋体" w:cs="宋体"/>
                <w:color w:val="000000"/>
                <w:szCs w:val="20"/>
              </w:rPr>
              <w:t>1.习近平新时代中国特色社会主义三十讲，学习出版社，2018年5月出版；</w:t>
            </w:r>
          </w:p>
          <w:p>
            <w:pPr>
              <w:autoSpaceDE w:val="0"/>
              <w:autoSpaceDN w:val="0"/>
              <w:adjustRightInd w:val="0"/>
              <w:spacing w:line="360" w:lineRule="exact"/>
              <w:rPr>
                <w:rFonts w:ascii="宋体" w:hAnsi="宋体" w:cs="宋体"/>
                <w:color w:val="000000"/>
                <w:szCs w:val="20"/>
              </w:rPr>
            </w:pPr>
            <w:r>
              <w:rPr>
                <w:rFonts w:hint="eastAsia" w:ascii="宋体" w:hAnsi="宋体" w:cs="宋体"/>
                <w:color w:val="000000"/>
                <w:szCs w:val="20"/>
              </w:rPr>
              <w:t>2.习近平在全国高校思想政治工作会议上的重要讲话；</w:t>
            </w:r>
          </w:p>
          <w:p>
            <w:pPr>
              <w:autoSpaceDE w:val="0"/>
              <w:autoSpaceDN w:val="0"/>
              <w:adjustRightInd w:val="0"/>
              <w:spacing w:line="360" w:lineRule="exact"/>
              <w:rPr>
                <w:rFonts w:ascii="宋体" w:hAnsi="宋体" w:cs="宋体"/>
                <w:color w:val="000000"/>
                <w:szCs w:val="20"/>
              </w:rPr>
            </w:pPr>
            <w:r>
              <w:rPr>
                <w:rFonts w:hint="eastAsia" w:ascii="宋体" w:hAnsi="宋体" w:cs="宋体"/>
                <w:color w:val="000000"/>
                <w:szCs w:val="20"/>
              </w:rPr>
              <w:t>3.习近平在北京大学师生座谈会上的讲话；</w:t>
            </w:r>
          </w:p>
          <w:p>
            <w:pPr>
              <w:autoSpaceDE w:val="0"/>
              <w:autoSpaceDN w:val="0"/>
              <w:adjustRightInd w:val="0"/>
              <w:spacing w:line="360" w:lineRule="exact"/>
              <w:rPr>
                <w:rFonts w:ascii="宋体" w:hAnsi="宋体" w:cs="宋体"/>
                <w:color w:val="000000"/>
                <w:szCs w:val="20"/>
              </w:rPr>
            </w:pPr>
            <w:r>
              <w:rPr>
                <w:rFonts w:hint="eastAsia" w:ascii="宋体" w:hAnsi="宋体" w:cs="宋体"/>
                <w:color w:val="000000"/>
                <w:szCs w:val="20"/>
              </w:rPr>
              <w:t>4.第十九次全国代表大会报告；</w:t>
            </w:r>
          </w:p>
          <w:p>
            <w:pPr>
              <w:autoSpaceDE w:val="0"/>
              <w:autoSpaceDN w:val="0"/>
              <w:adjustRightInd w:val="0"/>
              <w:spacing w:line="360" w:lineRule="exact"/>
              <w:rPr>
                <w:rFonts w:ascii="宋体" w:hAnsi="宋体" w:cs="宋体"/>
                <w:color w:val="000000"/>
                <w:szCs w:val="20"/>
              </w:rPr>
            </w:pPr>
            <w:r>
              <w:rPr>
                <w:rFonts w:hint="eastAsia" w:ascii="宋体" w:hAnsi="宋体" w:cs="宋体"/>
                <w:color w:val="000000"/>
                <w:szCs w:val="20"/>
              </w:rPr>
              <w:t>5.中华人民共和国教育法，2015年修订；</w:t>
            </w:r>
          </w:p>
          <w:p>
            <w:pPr>
              <w:autoSpaceDE w:val="0"/>
              <w:autoSpaceDN w:val="0"/>
              <w:adjustRightInd w:val="0"/>
              <w:spacing w:line="360" w:lineRule="exact"/>
              <w:rPr>
                <w:rFonts w:ascii="宋体" w:hAnsi="宋体" w:cs="宋体"/>
                <w:color w:val="000000"/>
                <w:szCs w:val="20"/>
              </w:rPr>
            </w:pPr>
            <w:r>
              <w:rPr>
                <w:rFonts w:hint="eastAsia" w:ascii="宋体" w:hAnsi="宋体" w:cs="宋体"/>
                <w:color w:val="000000"/>
                <w:szCs w:val="20"/>
              </w:rPr>
              <w:t>6.中华人民共和国精神卫生法（主席令第62号）；</w:t>
            </w:r>
          </w:p>
          <w:p>
            <w:pPr>
              <w:autoSpaceDE w:val="0"/>
              <w:autoSpaceDN w:val="0"/>
              <w:adjustRightInd w:val="0"/>
              <w:spacing w:line="360" w:lineRule="exact"/>
              <w:rPr>
                <w:rFonts w:ascii="宋体" w:hAnsi="宋体" w:cs="宋体"/>
                <w:color w:val="000000"/>
                <w:szCs w:val="20"/>
              </w:rPr>
            </w:pPr>
            <w:r>
              <w:rPr>
                <w:rFonts w:hint="eastAsia" w:ascii="宋体" w:hAnsi="宋体" w:cs="宋体"/>
                <w:color w:val="000000"/>
                <w:szCs w:val="20"/>
              </w:rPr>
              <w:t>7.学生伤害事故处理办法（教育部令第12号）；</w:t>
            </w:r>
          </w:p>
          <w:p>
            <w:pPr>
              <w:autoSpaceDE w:val="0"/>
              <w:autoSpaceDN w:val="0"/>
              <w:adjustRightInd w:val="0"/>
              <w:spacing w:line="360" w:lineRule="exact"/>
              <w:rPr>
                <w:rFonts w:ascii="宋体" w:hAnsi="宋体" w:cs="宋体"/>
                <w:color w:val="000000"/>
                <w:szCs w:val="20"/>
              </w:rPr>
            </w:pPr>
            <w:r>
              <w:rPr>
                <w:rFonts w:hint="eastAsia" w:ascii="宋体" w:hAnsi="宋体" w:cs="宋体"/>
                <w:color w:val="000000"/>
                <w:szCs w:val="20"/>
              </w:rPr>
              <w:t>8.普通高等学校学生管理规定（教育部令第41号）；</w:t>
            </w:r>
          </w:p>
          <w:p>
            <w:pPr>
              <w:autoSpaceDE w:val="0"/>
              <w:autoSpaceDN w:val="0"/>
              <w:adjustRightInd w:val="0"/>
              <w:spacing w:line="360" w:lineRule="exact"/>
              <w:rPr>
                <w:rFonts w:ascii="宋体" w:hAnsi="宋体" w:cs="宋体"/>
                <w:color w:val="000000"/>
                <w:szCs w:val="20"/>
              </w:rPr>
            </w:pPr>
            <w:r>
              <w:rPr>
                <w:rFonts w:hint="eastAsia" w:ascii="宋体" w:hAnsi="宋体" w:cs="宋体"/>
                <w:color w:val="000000"/>
                <w:szCs w:val="20"/>
              </w:rPr>
              <w:t>9.关于加强和改进新形势下高校思想政治工作的意见（中共中央、国务院，2017年2月）；</w:t>
            </w:r>
          </w:p>
          <w:p>
            <w:pPr>
              <w:autoSpaceDE w:val="0"/>
              <w:autoSpaceDN w:val="0"/>
              <w:adjustRightInd w:val="0"/>
              <w:spacing w:line="360" w:lineRule="exact"/>
              <w:rPr>
                <w:rFonts w:ascii="宋体" w:hAnsi="宋体" w:cs="宋体"/>
                <w:color w:val="000000"/>
                <w:szCs w:val="20"/>
              </w:rPr>
            </w:pPr>
            <w:r>
              <w:rPr>
                <w:rFonts w:hint="eastAsia" w:ascii="宋体" w:hAnsi="宋体" w:cs="宋体"/>
                <w:color w:val="000000"/>
                <w:szCs w:val="20"/>
              </w:rPr>
              <w:t>10.教育部卫生部共青团中央进一步加强和改进大学生心理健康教育的意见（教社政[2005]1号）；</w:t>
            </w:r>
          </w:p>
          <w:p>
            <w:pPr>
              <w:autoSpaceDE w:val="0"/>
              <w:autoSpaceDN w:val="0"/>
              <w:adjustRightInd w:val="0"/>
              <w:spacing w:line="360" w:lineRule="exact"/>
              <w:rPr>
                <w:rFonts w:ascii="宋体" w:hAnsi="宋体" w:cs="宋体"/>
                <w:color w:val="000000"/>
                <w:szCs w:val="20"/>
              </w:rPr>
            </w:pPr>
            <w:r>
              <w:rPr>
                <w:rFonts w:hint="eastAsia" w:ascii="宋体" w:hAnsi="宋体" w:cs="宋体"/>
                <w:color w:val="000000"/>
                <w:szCs w:val="20"/>
              </w:rPr>
              <w:t>11.中共教育部党组关于印发《高等学校学生心理健康教育指导纲要》的通知（教党[2018]41号）；</w:t>
            </w:r>
          </w:p>
          <w:p>
            <w:pPr>
              <w:autoSpaceDE w:val="0"/>
              <w:autoSpaceDN w:val="0"/>
              <w:adjustRightInd w:val="0"/>
              <w:spacing w:line="360" w:lineRule="exact"/>
              <w:rPr>
                <w:rFonts w:ascii="宋体" w:hAnsi="宋体" w:cs="宋体"/>
                <w:color w:val="000000"/>
                <w:szCs w:val="20"/>
              </w:rPr>
            </w:pPr>
            <w:r>
              <w:rPr>
                <w:rFonts w:hint="eastAsia" w:ascii="宋体" w:hAnsi="宋体" w:cs="宋体"/>
                <w:color w:val="000000"/>
                <w:szCs w:val="20"/>
              </w:rPr>
              <w:t>12.高校思想政治工作质量提升工程实施纲要（教党[2017]62号）；</w:t>
            </w:r>
          </w:p>
          <w:p>
            <w:pPr>
              <w:autoSpaceDE w:val="0"/>
              <w:autoSpaceDN w:val="0"/>
              <w:adjustRightInd w:val="0"/>
              <w:spacing w:line="360" w:lineRule="exact"/>
              <w:rPr>
                <w:rFonts w:ascii="宋体" w:hAnsi="宋体" w:cs="宋体"/>
                <w:color w:val="000000"/>
                <w:szCs w:val="20"/>
              </w:rPr>
            </w:pPr>
            <w:r>
              <w:rPr>
                <w:rFonts w:hint="eastAsia" w:ascii="宋体" w:hAnsi="宋体" w:cs="宋体"/>
                <w:color w:val="000000"/>
                <w:szCs w:val="20"/>
              </w:rPr>
              <w:t>13.刘利华，学校常用工作文书写作规范与范例，广西人民出版社，2008年出版；</w:t>
            </w:r>
          </w:p>
          <w:p>
            <w:pPr>
              <w:autoSpaceDE w:val="0"/>
              <w:autoSpaceDN w:val="0"/>
              <w:adjustRightInd w:val="0"/>
              <w:spacing w:line="360" w:lineRule="exact"/>
              <w:rPr>
                <w:rFonts w:ascii="宋体" w:hAnsi="宋体" w:cs="宋体"/>
                <w:color w:val="000000"/>
                <w:szCs w:val="20"/>
              </w:rPr>
            </w:pPr>
            <w:r>
              <w:rPr>
                <w:rFonts w:hint="eastAsia" w:ascii="宋体" w:hAnsi="宋体" w:cs="宋体"/>
                <w:color w:val="000000"/>
                <w:szCs w:val="20"/>
              </w:rPr>
              <w:t>14.大学生心理健康“微”教程，陈刚 刘曼曼主编，电子工业出版社，2015年版；</w:t>
            </w:r>
          </w:p>
          <w:p>
            <w:pPr>
              <w:autoSpaceDE w:val="0"/>
              <w:autoSpaceDN w:val="0"/>
              <w:adjustRightInd w:val="0"/>
              <w:spacing w:line="360" w:lineRule="exact"/>
              <w:rPr>
                <w:rFonts w:ascii="宋体" w:hAnsi="宋体" w:cs="宋体"/>
                <w:color w:val="000000"/>
                <w:szCs w:val="20"/>
              </w:rPr>
            </w:pPr>
            <w:r>
              <w:rPr>
                <w:rFonts w:hint="eastAsia" w:ascii="宋体" w:hAnsi="宋体" w:cs="宋体"/>
                <w:color w:val="000000"/>
                <w:szCs w:val="20"/>
              </w:rPr>
              <w:t>15.国家职业教育改革实施方案（国发[2019]4号）；</w:t>
            </w:r>
          </w:p>
          <w:p>
            <w:pPr>
              <w:autoSpaceDE w:val="0"/>
              <w:autoSpaceDN w:val="0"/>
              <w:adjustRightInd w:val="0"/>
              <w:spacing w:line="360" w:lineRule="exact"/>
              <w:rPr>
                <w:rFonts w:ascii="宋体" w:hAnsi="宋体" w:cs="宋体"/>
                <w:color w:val="000000"/>
                <w:szCs w:val="20"/>
              </w:rPr>
            </w:pPr>
            <w:r>
              <w:rPr>
                <w:rFonts w:hint="eastAsia" w:ascii="宋体" w:hAnsi="宋体" w:cs="宋体"/>
                <w:color w:val="000000"/>
                <w:szCs w:val="20"/>
              </w:rPr>
              <w:t>16.“不忘初心，牢记使命”主题教育应知应会知识；</w:t>
            </w:r>
          </w:p>
          <w:p>
            <w:pPr>
              <w:autoSpaceDE w:val="0"/>
              <w:autoSpaceDN w:val="0"/>
              <w:adjustRightInd w:val="0"/>
              <w:spacing w:line="360" w:lineRule="exact"/>
              <w:rPr>
                <w:rFonts w:ascii="宋体" w:hAnsi="宋体" w:cs="宋体"/>
                <w:color w:val="000000"/>
                <w:szCs w:val="20"/>
              </w:rPr>
            </w:pPr>
            <w:r>
              <w:rPr>
                <w:rFonts w:hint="eastAsia" w:ascii="宋体" w:hAnsi="宋体" w:cs="宋体"/>
                <w:color w:val="000000"/>
                <w:szCs w:val="20"/>
              </w:rPr>
              <w:t>17.高职生心理健康与发展，周李俐 周丽玉主编，清华大学出版社，2018年版</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E14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2020-05-28T02:59:34Z</dcterms:created>
  <dc:creator>lenovo</dc:creator>
  <cp:lastModifiedBy>杨芳</cp:lastModifiedBy>
  <dcterms:modified xsi:type="dcterms:W3CDTF">2020-05-28T03:00:04Z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