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17"/>
        <w:gridCol w:w="1128"/>
        <w:gridCol w:w="912"/>
        <w:gridCol w:w="1080"/>
        <w:gridCol w:w="139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451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记 者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30周岁及以内（1990年1月1日后出生）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全日制大学本科及以上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汉语言文学类、新闻学、传播学等相关专业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有记者资格证的优先，擅长摄影摄像的优先。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30岁及以内（1990年1月1日后出生）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播音与主持相关专业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有普通话一级乙等证书，形象好、气质佳，身高1.7米以上。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 音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30周岁及以内（1990年1月1日后出生）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女  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播音与主持相关专业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有普通话一级乙等证书，形象好、气质佳。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编辑制作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30周岁及以内（1990年1月1日后出生）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影视美术设计、广播电视编导、动画类等相关专业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能精通使用PR、AE、PS、A1、3D等设计、后期剪辑软件进行设计、动画和合成处理。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网络工程技术</w:t>
            </w:r>
          </w:p>
        </w:tc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30周岁及以内（1990年1月1日后出生）</w:t>
            </w:r>
          </w:p>
        </w:tc>
        <w:tc>
          <w:tcPr>
            <w:tcW w:w="9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全日制大学专科及以上</w:t>
            </w:r>
          </w:p>
        </w:tc>
        <w:tc>
          <w:tcPr>
            <w:tcW w:w="1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计算机、通信、网络工程、无线电技术等相关专业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83838"/>
                <w:spacing w:val="0"/>
                <w:sz w:val="24"/>
                <w:szCs w:val="24"/>
                <w:bdr w:val="none" w:color="auto" w:sz="0" w:space="0"/>
              </w:rPr>
              <w:t>具有计算机等级证书或电工证；能从事高空作业者优先。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仿宋" w:hAnsi="仿宋" w:eastAsia="仿宋" w:cs="仿宋"/>
                <w:color w:val="383838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D08F3"/>
    <w:rsid w:val="417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2020-07-10T02:11:00Z</dcterms:created>
  <dc:creator>Administrator</dc:creator>
  <cp:lastModifiedBy>Administrator</cp:lastModifiedBy>
  <dcterms:modified xsi:type="dcterms:W3CDTF">2020-07-10T02:38:20Z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