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96" w:rsidRPr="00F924CA" w:rsidRDefault="00BC7B96" w:rsidP="00BC7B96">
      <w:pPr>
        <w:spacing w:line="64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F924CA"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 w:rsidR="00BC7B96" w:rsidRPr="006F6446" w:rsidRDefault="00BC7B96" w:rsidP="00BC7B96">
      <w:pPr>
        <w:spacing w:after="0" w:line="640" w:lineRule="exact"/>
        <w:jc w:val="center"/>
        <w:rPr>
          <w:rFonts w:ascii="方正兰亭超细黑简体" w:eastAsia="方正兰亭超细黑简体" w:hAnsi="方正小标宋简体" w:cs="方正小标宋简体"/>
          <w:b/>
          <w:bCs/>
          <w:sz w:val="36"/>
          <w:szCs w:val="36"/>
        </w:rPr>
      </w:pPr>
      <w:r w:rsidRPr="006F6446">
        <w:rPr>
          <w:rFonts w:ascii="方正兰亭超细黑简体" w:eastAsia="方正兰亭超细黑简体" w:hAnsi="仿宋_GB2312" w:cs="仿宋_GB2312" w:hint="eastAsia"/>
          <w:b/>
          <w:sz w:val="36"/>
          <w:szCs w:val="36"/>
        </w:rPr>
        <w:t>选聘乡镇</w:t>
      </w:r>
      <w:r>
        <w:rPr>
          <w:rFonts w:ascii="方正兰亭超细黑简体" w:eastAsia="方正兰亭超细黑简体" w:hAnsi="仿宋_GB2312" w:cs="仿宋_GB2312" w:hint="eastAsia"/>
          <w:b/>
          <w:sz w:val="36"/>
          <w:szCs w:val="36"/>
        </w:rPr>
        <w:t>（区）</w:t>
      </w:r>
      <w:r w:rsidRPr="006F6446">
        <w:rPr>
          <w:rFonts w:ascii="方正兰亭超细黑简体" w:eastAsia="方正兰亭超细黑简体" w:hAnsi="仿宋_GB2312" w:cs="仿宋_GB2312" w:hint="eastAsia"/>
          <w:b/>
          <w:sz w:val="36"/>
          <w:szCs w:val="36"/>
        </w:rPr>
        <w:t>专职人民调解员</w:t>
      </w:r>
      <w:r w:rsidRPr="006F6446">
        <w:rPr>
          <w:rFonts w:ascii="方正兰亭超细黑简体" w:eastAsia="方正兰亭超细黑简体" w:hAnsi="方正小标宋简体" w:cs="方正小标宋简体" w:hint="eastAsia"/>
          <w:b/>
          <w:sz w:val="36"/>
          <w:szCs w:val="36"/>
        </w:rPr>
        <w:t>岗位表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674"/>
        <w:gridCol w:w="4634"/>
        <w:gridCol w:w="5688"/>
      </w:tblGrid>
      <w:tr w:rsidR="00BC7B96" w:rsidRPr="007F78B3" w:rsidTr="003134F2">
        <w:trPr>
          <w:cantSplit/>
          <w:trHeight w:val="639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宋体" w:cs="宋体"/>
                <w:b/>
                <w:bCs/>
                <w:sz w:val="24"/>
                <w:szCs w:val="28"/>
              </w:rPr>
            </w:pPr>
            <w:r w:rsidRPr="009F0B82"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岗位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宋体" w:cs="宋体"/>
                <w:b/>
                <w:bCs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选聘</w:t>
            </w:r>
            <w:r w:rsidRPr="009F0B82"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人数</w:t>
            </w:r>
          </w:p>
        </w:tc>
        <w:tc>
          <w:tcPr>
            <w:tcW w:w="1661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宋体" w:cs="宋体"/>
                <w:b/>
                <w:bCs/>
                <w:sz w:val="24"/>
                <w:szCs w:val="28"/>
              </w:rPr>
            </w:pPr>
            <w:r w:rsidRPr="009F0B82"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岗位职责</w:t>
            </w:r>
          </w:p>
        </w:tc>
        <w:tc>
          <w:tcPr>
            <w:tcW w:w="2039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宋体" w:cs="宋体"/>
                <w:b/>
                <w:bCs/>
                <w:sz w:val="24"/>
                <w:szCs w:val="28"/>
              </w:rPr>
            </w:pPr>
            <w:r w:rsidRPr="009F0B82">
              <w:rPr>
                <w:rFonts w:ascii="宋体" w:hAnsi="宋体" w:cs="宋体" w:hint="eastAsia"/>
                <w:b/>
                <w:bCs/>
                <w:sz w:val="24"/>
                <w:szCs w:val="28"/>
              </w:rPr>
              <w:t>岗位要求</w:t>
            </w:r>
          </w:p>
        </w:tc>
      </w:tr>
      <w:tr w:rsidR="00BC7B96" w:rsidRPr="009F0B82" w:rsidTr="003134F2">
        <w:trPr>
          <w:cantSplit/>
          <w:trHeight w:val="536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龙泉司法所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/>
                <w:sz w:val="20"/>
              </w:rPr>
              <w:t>1</w:t>
            </w:r>
          </w:p>
        </w:tc>
        <w:tc>
          <w:tcPr>
            <w:tcW w:w="1661" w:type="pct"/>
            <w:vMerge w:val="restar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乡镇专职从事人民调解工作。</w:t>
            </w:r>
          </w:p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2039" w:type="pct"/>
            <w:vMerge w:val="restart"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400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（一）年龄在</w:t>
            </w:r>
            <w:r w:rsidRPr="009F0B82">
              <w:rPr>
                <w:rFonts w:ascii="仿宋_GB2312" w:eastAsia="仿宋_GB2312" w:hAnsi="仿宋_GB2312" w:cs="仿宋_GB2312"/>
                <w:sz w:val="20"/>
              </w:rPr>
              <w:t>22</w:t>
            </w: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周岁以上，</w:t>
            </w:r>
            <w:r w:rsidRPr="009F0B82">
              <w:rPr>
                <w:rFonts w:ascii="仿宋_GB2312" w:eastAsia="仿宋_GB2312" w:hAnsi="仿宋_GB2312" w:cs="仿宋_GB2312"/>
                <w:sz w:val="20"/>
              </w:rPr>
              <w:t>65</w:t>
            </w: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周岁以下（即</w:t>
            </w:r>
            <w:r w:rsidRPr="009F0B82">
              <w:rPr>
                <w:rFonts w:ascii="仿宋_GB2312" w:eastAsia="仿宋_GB2312" w:hAnsi="仿宋_GB2312" w:cs="仿宋_GB2312"/>
                <w:sz w:val="20"/>
              </w:rPr>
              <w:t>1955</w:t>
            </w: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年</w:t>
            </w:r>
            <w:r w:rsidRPr="009F0B82">
              <w:rPr>
                <w:rFonts w:ascii="仿宋_GB2312" w:eastAsia="仿宋_GB2312" w:hAnsi="仿宋_GB2312" w:cs="仿宋_GB2312"/>
                <w:sz w:val="20"/>
              </w:rPr>
              <w:t>6</w:t>
            </w: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月</w:t>
            </w:r>
            <w:r w:rsidRPr="009F0B82">
              <w:rPr>
                <w:rFonts w:ascii="仿宋_GB2312" w:eastAsia="仿宋_GB2312" w:hAnsi="仿宋_GB2312" w:cs="仿宋_GB2312"/>
                <w:sz w:val="20"/>
              </w:rPr>
              <w:t>1</w:t>
            </w: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日至</w:t>
            </w:r>
            <w:r w:rsidRPr="009F0B82">
              <w:rPr>
                <w:rFonts w:ascii="仿宋_GB2312" w:eastAsia="仿宋_GB2312" w:hAnsi="仿宋_GB2312" w:cs="仿宋_GB2312"/>
                <w:sz w:val="20"/>
              </w:rPr>
              <w:t>1998</w:t>
            </w: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年</w:t>
            </w:r>
            <w:r w:rsidRPr="009F0B82">
              <w:rPr>
                <w:rFonts w:ascii="仿宋_GB2312" w:eastAsia="仿宋_GB2312" w:hAnsi="仿宋_GB2312" w:cs="仿宋_GB2312"/>
                <w:sz w:val="20"/>
              </w:rPr>
              <w:t>5</w:t>
            </w: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月</w:t>
            </w:r>
            <w:r w:rsidRPr="009F0B82">
              <w:rPr>
                <w:rFonts w:ascii="仿宋_GB2312" w:eastAsia="仿宋_GB2312" w:hAnsi="仿宋_GB2312" w:cs="仿宋_GB2312"/>
                <w:sz w:val="20"/>
              </w:rPr>
              <w:t>31</w:t>
            </w: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日出生）的人员；</w:t>
            </w:r>
          </w:p>
          <w:p w:rsidR="00BC7B96" w:rsidRPr="009F0B82" w:rsidRDefault="00BC7B96" w:rsidP="003134F2">
            <w:pPr>
              <w:spacing w:after="0" w:line="400" w:lineRule="exact"/>
              <w:ind w:firstLineChars="200" w:firstLine="400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（二）“五老人员”（老党员、老干部、老教师、老知识分子、老政法干警）和城乡基层工作者等优先聘任；</w:t>
            </w:r>
          </w:p>
          <w:p w:rsidR="00BC7B96" w:rsidRPr="009F0B82" w:rsidRDefault="00BC7B96" w:rsidP="003134F2">
            <w:pPr>
              <w:spacing w:after="0" w:line="400" w:lineRule="exact"/>
              <w:ind w:firstLineChars="200" w:firstLine="400"/>
              <w:rPr>
                <w:rFonts w:ascii="仿宋_GB2312" w:eastAsia="仿宋_GB2312" w:hAnsi="仿宋_GB2312" w:cs="仿宋_GB2312"/>
                <w:sz w:val="18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（三）人民调解员需热心人民调解工作，为人公道正派、了解社情民意、联系群众、团结群众、善于做思想工作。</w:t>
            </w: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店上司法所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百尺司法所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晋庄司法所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树掌司法所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集店司法所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五龙山司法所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石坡司法所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东井岭司法所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桥上司法所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鹅屋司法所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34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黄山司法所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  <w:tr w:rsidR="00BC7B96" w:rsidRPr="009F0B82" w:rsidTr="003134F2">
        <w:trPr>
          <w:cantSplit/>
          <w:trHeight w:val="70"/>
        </w:trPr>
        <w:tc>
          <w:tcPr>
            <w:tcW w:w="7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常平司法所</w:t>
            </w:r>
          </w:p>
        </w:tc>
        <w:tc>
          <w:tcPr>
            <w:tcW w:w="600" w:type="pct"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 w:rsidRPr="009F0B82"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1661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039" w:type="pct"/>
            <w:vMerge/>
            <w:vAlign w:val="center"/>
          </w:tcPr>
          <w:p w:rsidR="00BC7B96" w:rsidRPr="009F0B82" w:rsidRDefault="00BC7B96" w:rsidP="003134F2">
            <w:pPr>
              <w:spacing w:after="0" w:line="40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sz w:val="18"/>
                <w:szCs w:val="24"/>
              </w:rPr>
            </w:pPr>
          </w:p>
        </w:tc>
      </w:tr>
    </w:tbl>
    <w:p w:rsidR="00BC7B96" w:rsidRDefault="00BC7B96" w:rsidP="00BC7B96">
      <w:pPr>
        <w:spacing w:after="0"/>
      </w:pPr>
    </w:p>
    <w:p w:rsidR="00FF495B" w:rsidRDefault="00FF495B">
      <w:bookmarkStart w:id="0" w:name="_GoBack"/>
      <w:bookmarkEnd w:id="0"/>
    </w:p>
    <w:sectPr w:rsidR="00FF495B" w:rsidSect="009F2B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兰亭超细黑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96"/>
    <w:rsid w:val="00BC7B96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5CB1B-B4B6-44DC-8B71-7CE5FC72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9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DoubleOX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2020-07-06T09:41:00Z</dcterms:created>
  <dcterms:modified xsi:type="dcterms:W3CDTF">2020-07-06T09:41:00Z</dcterms:modified>
</cp:coreProperties>
</file>