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黔西南州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2020年“特岗”教师招聘报名学科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一致性或相近说明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55" w:lineRule="atLeast"/>
        <w:ind w:left="0" w:right="0" w:firstLine="645"/>
      </w:pPr>
      <w:r>
        <w:rPr>
          <w:rFonts w:ascii="仿宋_GB2312" w:hAnsi="helvetica" w:eastAsia="仿宋_GB2312" w:cs="仿宋_GB2312"/>
          <w:color w:val="333333"/>
          <w:sz w:val="31"/>
          <w:szCs w:val="31"/>
          <w:shd w:val="clear" w:fill="FFFFFF"/>
        </w:rPr>
        <w:t>为落实好报名专业一致性或相近认定的实施，根据教育部</w:t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1998年、2012年、2020年颁布的《普通高等学校本科专业目录》及2015年颁布的《普通高等学校高等职业教育（专科）专业目录》，将我州2020年“特岗教师”报名学科</w:t>
      </w:r>
      <w:r>
        <w:rPr>
          <w:rFonts w:ascii="黑体" w:hAnsi="宋体" w:eastAsia="黑体" w:cs="黑体"/>
          <w:color w:val="333333"/>
          <w:sz w:val="31"/>
          <w:szCs w:val="31"/>
          <w:shd w:val="clear" w:fill="FFFFFF"/>
        </w:rPr>
        <w:t>专业一致性或相近</w:t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解读说明如下：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一、普通高校全日制本科及以上应往届毕业生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一）语文学科：汉语言文学、汉语言、汉语国际教育、中国少数民族语言文学、中国语言文学（文艺学、语言学及应用语言学、汉语言文字学、中国古代文学、中国现当代文学、中国古典文献学、对外汉语教学、汉语国际教育硕士）、学科教学（语文）、课程与教学论（语文）、应用语言学、华文教育、对外汉语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相近：秘书学、新闻学、中国语言与文化、广播电视学、传播学、广告学、手语翻译、编辑出版学、网络与新媒体、数字出版、时尚传播、国际新闻与传播、比较文学与世界文学。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（二）数学学科：数学与应用数学、信息与计算科学、数理基础科学。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相近：数据计算及应用、金融数学、会计学、财务与管理、审计学、计算金融、管理科学、经济统计学、统计学、应用统计学、概率论与数理统计、运筹学与控制论、基础数学、计算数学。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三）英语学科：英语、商务英语、翻译（英语方向）、外国语言文学（英语语言文学、外国语言学及应用语言学（英语）、翻译学（英汉翻译））、学科教学（英语）、课程与教学论（英语）、旅游英语、翻译硕士（英语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（四）物理学科：物理学、应用物理学、核物理、声学。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相近：地球物理学、工程物理、材料物理、系统科学与工程（物理学类）、理论与应用力学、工程力学、空间科学与技术（地球物理学类）。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（五）化学学科：化学（无机化学、有机化学、分析化学、物理化学、生物有机化学）、应用化学、化学生物学、分子科学与工程。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地球化学、材料化学、化学工程与工艺、能源化学工程、化学工程与工业生物工程、药物化学、化学生物学、生物化学与分子生物学、精细化工、化工安全工程、制药工程、涂料工程、化工安全工程、资源循环科学与工程（化工与制药类）、高分子化学与物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（六）生物学科：生物科学、生物技术、应用生物教育、生物工程、生物信息学。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生态学（生物科学类）、生物医学工程、化学生物学、生物信息技术、生物科学与生物技术、生物化学与分子生物学、植物生物技术、动物生物技术、生物资源科学、生物安全、海洋生物资源与环境、生物功能材料、化学工程与工业生物工程、轻工生物技术、生物系统工程、应用生物科学、生物制药、古生物学、整合科学（生物科学类）、神经科学（生物科学类）、合成生物学、生物医学、生物医学科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（七）地理学科：地理教育、地理科学、地理信息科学。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相近：地理信息系统、地理国情监测、自然地理与资源环境、人文地理与城乡规划、地理空间信息工程、地理学科、大气科学、应用气象学、地质学、地球信息科学与技术、防灾减灾科学与工程。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（八）历史学科：历史教育、历史学、世界历史。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相近：考古学、博物馆学、历史建筑保护工程、文物保护技术、外国语言与外国历史、文化遗产、文物与博物馆学、中国共产党历史、专门史与整体史、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"https://baike.sogou.com/lemma/ShowInnerLink.htm?lemmaId=71808387"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世界近现代史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、世界史学理论与史学史、世界古代中古史、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"https://baike.sogou.com/lemma/ShowInnerLink.htm?lemmaId=4925736"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历史地理学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"https://baike.sogou.com/lemma/ShowInnerLink.htm?lemmaId=468487"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历史文献学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、史学理论及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"https://baike.sogou.com/lemma/ShowInnerLink.htm?lemmaId=361890"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中国史学史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"https://baike.sogou.com/lemma/ShowInnerLink.htm?lemmaId=4283959"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中国古代史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"https://baike.sogou.com/lemma/ShowInnerLink.htm?lemmaId=571255"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中国近代史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"https://baike.sogou.com/lemma/ShowInnerLink.htm?lemmaId=252163"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中国现代史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（九）政治学科：思想政治教育、政治学与行政学。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相近：国际政治、外交学、国际政治经济学、国际事务与国际关系、政治学、经济学与哲学、国际组织与全球治理、公安政治工作、哲学、科学社会主义、马克思主义理论、经济学、中外政治制度、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"https://baike.sogou.com/lemma/ShowInnerLink.htm?lemmaId=72483580"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中外政治制度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、马克思主义与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"https://baike.sogou.com/lemma/ShowInnerLink.htm?lemmaId=456571"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思想政治教育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、马克思主义民族理论与政策、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"https://baike.sogou.com/lemma/ShowInnerLink.htm?lemmaId=7638629"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马克思主义基本原理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"https://baike.sogou.com/lemma/ShowInnerLink.htm?lemmaId=7809920"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马克思主义发展史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"https://baike.sogou.com/lemma/ShowInnerLink.htm?lemmaId=8821475"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马克思主义中国化研究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、国外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instrText xml:space="preserve"> HYPERLINK "https://baike.sogou.com/lemma/ShowInnerLink.htm?lemmaId=76650863" </w:instrTex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仿宋_GB2312" w:hAnsi="helvetica" w:eastAsia="仿宋_GB2312" w:cs="仿宋_GB2312"/>
          <w:color w:val="333333"/>
          <w:sz w:val="31"/>
          <w:szCs w:val="31"/>
          <w:u w:val="none"/>
          <w:shd w:val="clear" w:fill="FFFFFF"/>
        </w:rPr>
        <w:t>马克思主义研究</w:t>
      </w:r>
      <w:r>
        <w:rPr>
          <w:rFonts w:hint="default" w:ascii="helvetica" w:hAnsi="helvetica" w:eastAsia="helvetica" w:cs="helvetica"/>
          <w:color w:val="333333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）音乐学科：音乐表演、音乐教育、音乐学（音乐科技与艺术、作曲与作曲技术理论、流行音乐、音乐治疗、器乐、少数民族音乐、音乐制作、民族民间音乐、声乐、钢琴、钢琴伴奏）、舞蹈教育、舞蹈表演、舞蹈学（舞蹈编导、流行舞蹈、民族舞蹈、现代舞蹈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（十一）体育学科：体育教育、运动训练、社会体育、社会体育指导与管理、武术与民族传统体育、体育与健康、运动康复、休闲体育。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相近：运动人体科学、体能训练、冰雪运动、电子竞技运动与管理、智能体育工程、体育旅游、运动能力开发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（十二）美术学科：美术教育、美术学（中国画、油画、版画、漫画、设计）、绘画（油画、版画、中国画）、书法学、雕塑、摄影。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环境设计戏剧影视美术设计、实验艺术、跨媒体艺术、文物保护与修复（艺术方向）、艺术设计学、视觉传达设计、环境设计、产品设计、服装与服饰设计、公共艺术、IN无木、数字媒体艺术、艺术与科技、陶瓷艺术设计、新媒体艺术、包装设计、艺术教育、工艺美术、建筑设计、景观设计、舞美设计、工业设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（十三）信息技术学科：计算机科学与技术、教育技术学、网络工程、信息安全、物联网工程、电子信息科学与技术、信息管理与信息系统。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信息与计算科学、电子信息工程、信息工程、地理信息科学、地球信息科学与技术、地球信息科学与技术、智能电网信息工程、光电信息科学与工程、电子信息科学与技术、海洋信息工程、信息安全、空间信息与数字技术、地理空间信息工程、信息对抗技术、信息资源管理、人工智能、应用电子技术教育、电信工程及管理、电波传播与天线、电磁场与无线电技术、医学信息工程、集成电路设计与集成系统、电子封装技术、广播电视工程、微电子科学与工程、大数据管理与应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（十四）心理健康学科：心理学、应用心理学、基础心理学、发展与教育心理学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（十五）学前教育学科：学前教育、幼儿教育、教育学（学前教育方向）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（十六）特教学科：特殊教育、教育康复学、手语翻译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（十七）科学学科：科学教育、认知科学与技术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（十八）其他专业说明：教育学、教育技术学、艺术教育、小学教育、初等教育、人文教育以教师资格证类别或拟申报教师资格类别学段学科为准。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二、普通高等师范院校全日制专科应往届毕业生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（一）语文学科：语文教育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相近：中国少数民族语言文化、汉语、播音与主持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（二）数学学科：数学教育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相近：会计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（三）英语学科：英语教育、商务英语、应用英语、旅游英语、翻译（英语方向）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（四）物理学科：物理教育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（五）化学学科：化学教育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相近：化工安全技术、应用化工技术、精细化工技术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（六）生物学科：生物教育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相近：生物质能应用技术、食品生物技术、化工生物技术、药品生物技术、农业生物技术、生物产品检验检疫、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（七）地理学科：地理教育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相近：测绘地理信息技术、地理国情监测技术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（八）历史学科：历史教育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相近：文物修复与保护（历史方向）、考古探掘技术、文物博物馆服务与管理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（九）政治学科：思想政治教育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（十）音乐学科：音乐教育、舞蹈教育、艺术教育。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表演艺术、歌舞表演、戏剧影视表演、戏曲表演、曲艺表演、音乐剧表演、舞蹈表演、国际标准舞、现代流行音乐、作曲技术、音乐制作、钢琴伴奏、钢琴调律、舞蹈编导、戏曲导演、音乐表演（声乐、器乐）、民族表演艺术、歌舞表演（音乐、舞蹈方向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（十一）体育学科：体育教育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相近：运动训练、运动防护、社会体育、休闲体育、高尔夫球运动与管理、民族传统体育、体育艺术表演、体育运营与管理、体育保健与康复、健身指导与管理、社会体育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（十二）美术学科：美术教育、艺术教育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动漫制作技术、艺术设计、视觉传播设计与制作、广告设计与制作、环境艺术设计、动漫设计、摄影与摄像艺术、美术（书法、绘画、雕塑）、民族美术、影视美术、数字媒体应用技术、产品艺术设计、数字媒体艺术设计、室内艺术设计、工艺美术品设计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（十三）信息技术学科：现代教育技术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城市信息化管理、数字图文信息技术、电子信息技术工程、物联网应用技术、计算机信息管理、软件与信息服务、信息安全与管理、信息网络安全监察、司法信息技术、大数据技术与应用、计算机应用技术、软件技术、云计算技术与应用、电子信息工程技术、移动应用开发、应用电子技术、应用电子技术、无人机应用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（十四）心理健康学科：心理健康教育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相近：罪犯心理测量与矫正技术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（十五）学前教育学科：早期教育、学前教育、艺术教育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（十六）特教学科：特殊教育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（十七）科学学科：科学教育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645"/>
      </w:pPr>
      <w:r>
        <w:rPr>
          <w:rFonts w:hint="default" w:ascii="仿宋_GB2312" w:hAnsi="helvetica" w:eastAsia="仿宋_GB2312" w:cs="仿宋_GB2312"/>
          <w:color w:val="333333"/>
          <w:sz w:val="31"/>
          <w:szCs w:val="31"/>
          <w:shd w:val="clear" w:fill="FFFFFF"/>
        </w:rPr>
        <w:t>（十八）其他专业说明：小学教育、初等教育以教师资格证类别或拟申报教师资格类别学段学科为准。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306F"/>
    <w:rsid w:val="14A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  <w:style w:type="character" w:customStyle="1" w:styleId="9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2020-06-29T08:44:00Z</dcterms:created>
  <dc:creator>福地</dc:creator>
  <cp:lastModifiedBy>福地</cp:lastModifiedBy>
  <dcterms:modified xsi:type="dcterms:W3CDTF">2020-06-29T08:44:30Z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