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tbl>
      <w:tblPr>
        <w:tblStyle w:val="2"/>
        <w:tblW w:w="907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1935"/>
        <w:gridCol w:w="2810"/>
        <w:gridCol w:w="990"/>
        <w:gridCol w:w="8"/>
        <w:gridCol w:w="28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9075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方正小标宋简体" w:hAnsi="方正小标宋简体" w:eastAsia="方正小标宋简体" w:cs="方正小标宋简体"/>
                <w:b w:val="0"/>
                <w:bCs/>
                <w:color w:val="000000"/>
                <w:spacing w:val="-11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pacing w:val="-11"/>
                <w:kern w:val="0"/>
                <w:sz w:val="24"/>
                <w:szCs w:val="24"/>
                <w:lang w:val="en-US" w:eastAsia="zh-CN" w:bidi="ar"/>
              </w:rPr>
              <w:t>附件1</w:t>
            </w:r>
          </w:p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pacing w:val="-11"/>
                <w:kern w:val="0"/>
                <w:sz w:val="44"/>
                <w:szCs w:val="4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pacing w:val="-11"/>
                <w:kern w:val="0"/>
                <w:sz w:val="44"/>
                <w:szCs w:val="44"/>
                <w:lang w:bidi="ar"/>
              </w:rPr>
              <w:t>商丘市第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pacing w:val="-11"/>
                <w:kern w:val="0"/>
                <w:sz w:val="44"/>
                <w:szCs w:val="44"/>
                <w:lang w:eastAsia="zh-CN" w:bidi="ar"/>
              </w:rPr>
              <w:t>六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pacing w:val="-11"/>
                <w:kern w:val="0"/>
                <w:sz w:val="44"/>
                <w:szCs w:val="44"/>
                <w:lang w:bidi="ar"/>
              </w:rPr>
              <w:t>人民医院20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pacing w:val="-11"/>
                <w:kern w:val="0"/>
                <w:sz w:val="44"/>
                <w:szCs w:val="44"/>
                <w:lang w:val="en-US" w:eastAsia="zh-CN" w:bidi="ar"/>
              </w:rPr>
              <w:t>20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pacing w:val="-11"/>
                <w:kern w:val="0"/>
                <w:sz w:val="44"/>
                <w:szCs w:val="44"/>
                <w:lang w:bidi="ar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pacing w:val="-11"/>
                <w:kern w:val="0"/>
                <w:sz w:val="44"/>
                <w:szCs w:val="44"/>
                <w:lang w:eastAsia="zh-CN" w:bidi="ar"/>
              </w:rPr>
              <w:t>高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pacing w:val="-11"/>
                <w:kern w:val="0"/>
                <w:sz w:val="44"/>
                <w:szCs w:val="44"/>
                <w:lang w:bidi="ar"/>
              </w:rPr>
              <w:t>级人才招聘计划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招聘专业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2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内科</w:t>
            </w:r>
          </w:p>
        </w:tc>
        <w:tc>
          <w:tcPr>
            <w:tcW w:w="28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本科及以上学历，具有副高及以上职称。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内科学、普通内科、肾内科、心血管内科、消化内科、神经内科、内分泌专业等。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急诊科</w:t>
            </w:r>
          </w:p>
        </w:tc>
        <w:tc>
          <w:tcPr>
            <w:tcW w:w="2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急诊医学、急诊内科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外科</w:t>
            </w:r>
          </w:p>
        </w:tc>
        <w:tc>
          <w:tcPr>
            <w:tcW w:w="2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外科学、普通外科、骨外科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腔镜</w:t>
            </w:r>
          </w:p>
        </w:tc>
        <w:tc>
          <w:tcPr>
            <w:tcW w:w="2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腔镜相关各专业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中医内科</w:t>
            </w:r>
          </w:p>
        </w:tc>
        <w:tc>
          <w:tcPr>
            <w:tcW w:w="2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儿科</w:t>
            </w:r>
          </w:p>
        </w:tc>
        <w:tc>
          <w:tcPr>
            <w:tcW w:w="2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小儿内科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8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>
      <w:pPr>
        <w:numPr>
          <w:ilvl w:val="0"/>
          <w:numId w:val="0"/>
        </w:numPr>
        <w:ind w:left="534" w:leftChars="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numPr>
          <w:ilvl w:val="0"/>
          <w:numId w:val="0"/>
        </w:numPr>
        <w:ind w:left="534" w:leftChars="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numPr>
          <w:ilvl w:val="0"/>
          <w:numId w:val="0"/>
        </w:numPr>
        <w:ind w:left="534" w:leftChars="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numPr>
          <w:ilvl w:val="0"/>
          <w:numId w:val="0"/>
        </w:numPr>
        <w:ind w:left="534" w:leftChars="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tbl>
      <w:tblPr>
        <w:tblStyle w:val="2"/>
        <w:tblW w:w="907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1935"/>
        <w:gridCol w:w="2799"/>
        <w:gridCol w:w="997"/>
        <w:gridCol w:w="4"/>
        <w:gridCol w:w="28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07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附件1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9075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18" w:firstLineChars="100"/>
              <w:jc w:val="both"/>
              <w:textAlignment w:val="center"/>
              <w:rPr>
                <w:rFonts w:ascii="黑体" w:hAnsi="宋体" w:eastAsia="黑体" w:cs="黑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pacing w:val="-11"/>
                <w:kern w:val="0"/>
                <w:sz w:val="44"/>
                <w:szCs w:val="44"/>
                <w:lang w:bidi="ar"/>
              </w:rPr>
              <w:t>商丘市第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pacing w:val="-11"/>
                <w:kern w:val="0"/>
                <w:sz w:val="44"/>
                <w:szCs w:val="44"/>
                <w:lang w:eastAsia="zh-CN" w:bidi="ar"/>
              </w:rPr>
              <w:t>六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pacing w:val="-11"/>
                <w:kern w:val="0"/>
                <w:sz w:val="44"/>
                <w:szCs w:val="44"/>
                <w:lang w:bidi="ar"/>
              </w:rPr>
              <w:t>人民医院20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pacing w:val="-11"/>
                <w:kern w:val="0"/>
                <w:sz w:val="44"/>
                <w:szCs w:val="44"/>
                <w:lang w:val="en-US" w:eastAsia="zh-CN" w:bidi="ar"/>
              </w:rPr>
              <w:t>20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pacing w:val="-11"/>
                <w:kern w:val="0"/>
                <w:sz w:val="44"/>
                <w:szCs w:val="44"/>
                <w:lang w:bidi="ar"/>
              </w:rPr>
              <w:t>年中级人才招聘计划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招聘专业</w:t>
            </w: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10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内科</w:t>
            </w:r>
          </w:p>
        </w:tc>
        <w:tc>
          <w:tcPr>
            <w:tcW w:w="27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专科及以上学历，具有中级职称。</w:t>
            </w:r>
          </w:p>
        </w:tc>
        <w:tc>
          <w:tcPr>
            <w:tcW w:w="10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内科学、普通内科、心血管内科、消化内科、神经内科、内分泌专业等。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麻醉科</w:t>
            </w:r>
          </w:p>
        </w:tc>
        <w:tc>
          <w:tcPr>
            <w:tcW w:w="27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麻醉专业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眼科</w:t>
            </w:r>
          </w:p>
        </w:tc>
        <w:tc>
          <w:tcPr>
            <w:tcW w:w="27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眼科学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老年病科</w:t>
            </w:r>
          </w:p>
        </w:tc>
        <w:tc>
          <w:tcPr>
            <w:tcW w:w="27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理疗科</w:t>
            </w:r>
          </w:p>
        </w:tc>
        <w:tc>
          <w:tcPr>
            <w:tcW w:w="27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针灸、推拿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儿科</w:t>
            </w:r>
          </w:p>
        </w:tc>
        <w:tc>
          <w:tcPr>
            <w:tcW w:w="27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儿科专业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560" w:firstLineChars="20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康复科</w:t>
            </w:r>
          </w:p>
        </w:tc>
        <w:tc>
          <w:tcPr>
            <w:tcW w:w="27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康复治疗学、康复医学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超声科</w:t>
            </w:r>
          </w:p>
        </w:tc>
        <w:tc>
          <w:tcPr>
            <w:tcW w:w="27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超声、影像专业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内科</w:t>
            </w:r>
          </w:p>
        </w:tc>
        <w:tc>
          <w:tcPr>
            <w:tcW w:w="27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耳鼻喉科</w:t>
            </w:r>
          </w:p>
        </w:tc>
        <w:tc>
          <w:tcPr>
            <w:tcW w:w="27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耳鼻咽喉科学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481"/>
              </w:tabs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血液净化室</w:t>
            </w:r>
          </w:p>
        </w:tc>
        <w:tc>
          <w:tcPr>
            <w:tcW w:w="27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bidi w:val="0"/>
              <w:ind w:firstLine="337" w:firstLineChars="0"/>
              <w:jc w:val="left"/>
              <w:rPr>
                <w:rFonts w:hint="default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671"/>
              </w:tabs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护理专业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财务科</w:t>
            </w:r>
          </w:p>
        </w:tc>
        <w:tc>
          <w:tcPr>
            <w:tcW w:w="27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会计学、财务管理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办公室</w:t>
            </w:r>
          </w:p>
        </w:tc>
        <w:tc>
          <w:tcPr>
            <w:tcW w:w="27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文秘、中文、汉语言文学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427"/>
              </w:tabs>
              <w:spacing w:line="320" w:lineRule="exact"/>
              <w:ind w:firstLine="280" w:firstLineChars="100"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>
      <w:pPr>
        <w:ind w:firstLine="210" w:firstLineChars="10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0B743F"/>
    <w:rsid w:val="630B74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2020-06-28T03:31:00Z</dcterms:created>
  <dc:creator>陈登峰</dc:creator>
  <cp:lastModifiedBy>陈登峰</cp:lastModifiedBy>
  <dcterms:modified xsi:type="dcterms:W3CDTF">2020-06-28T03:33:54Z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