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90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935"/>
        <w:gridCol w:w="2810"/>
        <w:gridCol w:w="990"/>
        <w:gridCol w:w="8"/>
        <w:gridCol w:w="2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商丘市第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eastAsia="zh-CN" w:bidi="ar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人民医院20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eastAsia="zh-CN" w:bidi="ar"/>
              </w:rPr>
              <w:t>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级人才招聘计划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招聘专业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本科及以上学历，具有副高及以上职称。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内科学、普通内科、肾内科、心血管内科、消化内科、神经内科、内分泌专业等。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急诊科</w:t>
            </w: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急诊医学、急诊内科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外科</w:t>
            </w: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外科学、普通外科、骨外科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腔镜</w:t>
            </w: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腔镜相关各专业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中医内科</w:t>
            </w: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儿科</w:t>
            </w: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小儿内科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534" w:lef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="534" w:lef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="534" w:lef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="534" w:leftChars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90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935"/>
        <w:gridCol w:w="2799"/>
        <w:gridCol w:w="997"/>
        <w:gridCol w:w="4"/>
        <w:gridCol w:w="2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18" w:firstLineChars="100"/>
              <w:jc w:val="both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商丘市第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eastAsia="zh-CN" w:bidi="ar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人民医院20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11"/>
                <w:kern w:val="0"/>
                <w:sz w:val="44"/>
                <w:szCs w:val="44"/>
                <w:lang w:bidi="ar"/>
              </w:rPr>
              <w:t>年中级人才招聘计划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招聘专业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专科及以上学历，具有中级职称。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内科学、普通内科、心血管内科、消化内科、神经内科、内分泌专业等。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麻醉科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麻醉专业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眼科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老年病科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理疗科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针灸、推拿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儿科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儿科专业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康复科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康复治疗学、康复医学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超声科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超声、影像专业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内科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耳鼻喉科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81"/>
              </w:tabs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血液净化室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bidi w:val="0"/>
              <w:ind w:firstLine="337" w:firstLineChars="0"/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71"/>
              </w:tabs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护理专业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财务科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会计学、财务管理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2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文秘、中文、汉语言文学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7"/>
              </w:tabs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210" w:firstLineChars="1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B743F"/>
    <w:rsid w:val="630B7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2020-06-28T03:31:00Z</dcterms:created>
  <dc:creator>陈登峰</dc:creator>
  <cp:lastModifiedBy>陈登峰</cp:lastModifiedBy>
  <dcterms:modified xsi:type="dcterms:W3CDTF">2020-06-28T03:33:54Z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