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岗位及招聘条件：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一、基本条件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/>
        </w:rPr>
        <w:t>1</w:t>
      </w:r>
      <w:r>
        <w:rPr>
          <w:rFonts w:hint="eastAsia" w:ascii="宋体" w:hAnsi="宋体" w:eastAsia="宋体" w:cs="宋体"/>
          <w:sz w:val="19"/>
          <w:szCs w:val="19"/>
        </w:rPr>
        <w:t>、拥护党的教育方针、热爱教育事业、政治立场坚定、师德师风端正、具有协作精神、能服从工作安排。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/>
        </w:rPr>
        <w:t>2</w:t>
      </w:r>
      <w:r>
        <w:rPr>
          <w:rFonts w:hint="eastAsia" w:ascii="宋体" w:hAnsi="宋体" w:eastAsia="宋体" w:cs="宋体"/>
          <w:sz w:val="19"/>
          <w:szCs w:val="19"/>
        </w:rPr>
        <w:t>、一般应具有博士学位，教授可适当放宽。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/>
        </w:rPr>
        <w:t>3</w:t>
      </w:r>
      <w:r>
        <w:rPr>
          <w:rFonts w:hint="eastAsia" w:ascii="宋体" w:hAnsi="宋体" w:eastAsia="宋体" w:cs="宋体"/>
          <w:sz w:val="19"/>
          <w:szCs w:val="19"/>
        </w:rPr>
        <w:t>、具有承担应聘岗位所需的学术水平和教学科研能力。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lang w:val="en-US"/>
        </w:rPr>
        <w:t>4</w:t>
      </w:r>
      <w:r>
        <w:rPr>
          <w:rFonts w:hint="eastAsia" w:ascii="宋体" w:hAnsi="宋体" w:eastAsia="宋体" w:cs="宋体"/>
          <w:sz w:val="19"/>
          <w:szCs w:val="19"/>
        </w:rPr>
        <w:t>、身心健康，具备承担本职工作的生理、心理素质。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84" w:firstLineChars="200"/>
        <w:jc w:val="left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二、岗位具体要求如下</w:t>
      </w:r>
    </w:p>
    <w:tbl>
      <w:tblPr>
        <w:tblW w:w="8484" w:type="dxa"/>
        <w:jc w:val="center"/>
        <w:shd w:val="clear"/>
        <w:tblLayout w:type="autofit"/>
        <w:tblCellMar>
          <w:top w:w="0" w:type="dxa"/>
          <w:left w:w="84" w:type="dxa"/>
          <w:bottom w:w="0" w:type="dxa"/>
          <w:right w:w="84" w:type="dxa"/>
        </w:tblCellMar>
      </w:tblPr>
      <w:tblGrid>
        <w:gridCol w:w="1106"/>
        <w:gridCol w:w="1392"/>
        <w:gridCol w:w="2903"/>
        <w:gridCol w:w="928"/>
        <w:gridCol w:w="988"/>
        <w:gridCol w:w="1167"/>
      </w:tblGrid>
      <w:tr>
        <w:tblPrEx>
          <w:shd w:val="clear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85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岗位职责描述</w:t>
            </w:r>
          </w:p>
        </w:tc>
        <w:tc>
          <w:tcPr>
            <w:tcW w:w="2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专业要求或其他具体要求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年龄要求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职称要求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岗位数</w:t>
            </w:r>
          </w:p>
        </w:tc>
      </w:tr>
      <w:tr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1140" w:hRule="atLeast"/>
          <w:jc w:val="center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承担研究院学科方向负责人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国内外高水平高校人工智能或教育学等相关专业方向，具有主持国家级项目经历，或具有相关行业领军人才经历；能够引领研究院相关方向发展；入选国家级人才计划者优先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原则上年龄不超过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正高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948" w:hRule="atLeast"/>
          <w:jc w:val="center"/>
        </w:trPr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承担研究院学科方向负责人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国内外高水平高校人工智能或教育学等相关专业方向，在领域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/>
              </w:rPr>
              <w:t>top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期刊发表过高档次论文，或可独立承担人工智能教育方向的技术、课程研发等工作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原则上年龄不超过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岁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A5E"/>
    <w:rsid w:val="0DCE6DB4"/>
    <w:rsid w:val="1DDE4E36"/>
    <w:rsid w:val="2748698D"/>
    <w:rsid w:val="43F75575"/>
    <w:rsid w:val="48ED1EFC"/>
    <w:rsid w:val="731A1328"/>
    <w:rsid w:val="7A4D4B65"/>
    <w:rsid w:val="7C96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item-name"/>
    <w:basedOn w:val="4"/>
    <w:uiPriority w:val="0"/>
    <w:rPr>
      <w:color w:val="555555"/>
      <w:bdr w:val="none" w:color="auto" w:sz="0" w:space="0"/>
    </w:rPr>
  </w:style>
  <w:style w:type="character" w:customStyle="1" w:styleId="10">
    <w:name w:val="item-name1"/>
    <w:basedOn w:val="4"/>
    <w:uiPriority w:val="0"/>
    <w:rPr>
      <w:u w:val="single"/>
    </w:rPr>
  </w:style>
  <w:style w:type="character" w:customStyle="1" w:styleId="11">
    <w:name w:val="item-name2"/>
    <w:basedOn w:val="4"/>
    <w:uiPriority w:val="0"/>
    <w:rPr>
      <w:color w:val="FFFF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