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hint="eastAsia" w:ascii="华文中宋" w:hAnsi="华文中宋" w:eastAsia="华文中宋" w:cs="Arial"/>
          <w:b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eastAsia="zh-CN"/>
        </w:rPr>
        <w:t>中共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晋城市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eastAsia="zh-CN"/>
        </w:rPr>
        <w:t>委政法委员会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下属事业单位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引进高层次人才岗位表</w:t>
      </w:r>
    </w:p>
    <w:p>
      <w:pPr>
        <w:spacing w:line="600" w:lineRule="exact"/>
        <w:jc w:val="center"/>
        <w:rPr>
          <w:rFonts w:hint="eastAsia" w:ascii="华文中宋" w:hAnsi="华文中宋" w:eastAsia="华文中宋" w:cs="Arial"/>
          <w:b/>
          <w:kern w:val="0"/>
          <w:sz w:val="44"/>
          <w:szCs w:val="44"/>
        </w:rPr>
      </w:pPr>
    </w:p>
    <w:p>
      <w:pPr>
        <w:spacing w:line="100" w:lineRule="exact"/>
        <w:rPr>
          <w:rFonts w:hint="eastAsia" w:ascii="宋体" w:hAnsi="宋体" w:cs="Arial"/>
          <w:kern w:val="0"/>
          <w:sz w:val="32"/>
          <w:szCs w:val="32"/>
        </w:rPr>
      </w:pPr>
    </w:p>
    <w:tbl>
      <w:tblPr>
        <w:tblStyle w:val="4"/>
        <w:tblW w:w="11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1075"/>
        <w:gridCol w:w="1490"/>
        <w:gridCol w:w="2152"/>
        <w:gridCol w:w="1481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9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引进人才单位</w:t>
            </w:r>
          </w:p>
        </w:tc>
        <w:tc>
          <w:tcPr>
            <w:tcW w:w="10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岗位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引进人数</w:t>
            </w:r>
          </w:p>
        </w:tc>
        <w:tc>
          <w:tcPr>
            <w:tcW w:w="2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学历要求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专业要求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ind w:left="-59" w:leftChars="-28" w:firstLine="76" w:firstLineChars="24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39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晋城市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综治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中心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管理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1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</w:rPr>
              <w:t>“双一流”、“985工程”和“211工程”院校专业对口的全日制硕士研究生及以上学历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法学、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管理学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814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0147"/>
    <w:rsid w:val="1ECC0CA4"/>
    <w:rsid w:val="2B5F608E"/>
    <w:rsid w:val="2D0337D6"/>
    <w:rsid w:val="48E51AF6"/>
    <w:rsid w:val="4AE00F34"/>
    <w:rsid w:val="69EA0147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2020-05-15T11:00:00Z</dcterms:created>
  <dc:creator>lhz</dc:creator>
  <cp:lastModifiedBy>lhz</cp:lastModifiedBy>
  <dcterms:modified xsi:type="dcterms:W3CDTF">2020-05-15T11:00:43Z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