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50" w:beforeAutospacing="0" w:after="450" w:afterAutospacing="0" w:line="585" w:lineRule="atLeast"/>
        <w:ind w:left="0" w:right="0"/>
        <w:jc w:val="center"/>
      </w:pPr>
      <w:r>
        <w:rPr>
          <w:rFonts w:ascii="方正小标宋_GBK" w:hAnsi="方正小标宋_GBK" w:eastAsia="方正小标宋_GBK" w:cs="方正小标宋_GBK"/>
          <w:color w:val="000000"/>
          <w:sz w:val="31"/>
          <w:szCs w:val="31"/>
        </w:rPr>
        <w:t>广西壮族自治区投资促进局公开遴选招商中介机构报名表</w:t>
      </w:r>
    </w:p>
    <w:tbl>
      <w:tblPr>
        <w:tblW w:w="5000" w:type="pct"/>
        <w:tblCellSpacing w:w="0" w:type="dxa"/>
        <w:tblInd w:w="15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11"/>
        <w:gridCol w:w="3750"/>
        <w:gridCol w:w="2143"/>
        <w:gridCol w:w="1518"/>
        <w:gridCol w:w="4376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0" w:hRule="atLeast"/>
          <w:tblCellSpacing w:w="0" w:type="dxa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机构名称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所属类型</w:t>
            </w:r>
          </w:p>
        </w:tc>
        <w:tc>
          <w:tcPr>
            <w:tcW w:w="3960" w:type="dxa"/>
            <w:gridSpan w:val="2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0" w:hRule="atLeast"/>
          <w:tblCellSpacing w:w="0" w:type="dxa"/>
        </w:trPr>
        <w:tc>
          <w:tcPr>
            <w:tcW w:w="162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所属行业</w:t>
            </w:r>
          </w:p>
        </w:tc>
        <w:tc>
          <w:tcPr>
            <w:tcW w:w="25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专业领域</w:t>
            </w:r>
          </w:p>
        </w:tc>
        <w:tc>
          <w:tcPr>
            <w:tcW w:w="3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0" w:hRule="atLeast"/>
          <w:tblCellSpacing w:w="0" w:type="dxa"/>
        </w:trPr>
        <w:tc>
          <w:tcPr>
            <w:tcW w:w="162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单位地址</w:t>
            </w:r>
          </w:p>
        </w:tc>
        <w:tc>
          <w:tcPr>
            <w:tcW w:w="79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0" w:hRule="atLeast"/>
          <w:tblCellSpacing w:w="0" w:type="dxa"/>
        </w:trPr>
        <w:tc>
          <w:tcPr>
            <w:tcW w:w="1620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 系 人</w:t>
            </w:r>
          </w:p>
        </w:tc>
        <w:tc>
          <w:tcPr>
            <w:tcW w:w="25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  话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5" w:hRule="atLeast"/>
          <w:tblCellSpacing w:w="0" w:type="dxa"/>
        </w:trPr>
        <w:tc>
          <w:tcPr>
            <w:tcW w:w="162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E-mail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5" w:hRule="atLeast"/>
          <w:tblCellSpacing w:w="0" w:type="dxa"/>
        </w:trPr>
        <w:tc>
          <w:tcPr>
            <w:tcW w:w="162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单位简介、业绩以及影响力</w:t>
            </w:r>
          </w:p>
        </w:tc>
        <w:tc>
          <w:tcPr>
            <w:tcW w:w="79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  <w:tblCellSpacing w:w="0" w:type="dxa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招商引资优势及经历</w:t>
            </w:r>
          </w:p>
        </w:tc>
        <w:tc>
          <w:tcPr>
            <w:tcW w:w="79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  <w:tblCellSpacing w:w="0" w:type="dxa"/>
        </w:trPr>
        <w:tc>
          <w:tcPr>
            <w:tcW w:w="1620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单位承诺</w:t>
            </w:r>
          </w:p>
        </w:tc>
        <w:tc>
          <w:tcPr>
            <w:tcW w:w="79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5" w:lineRule="atLeast"/>
              <w:ind w:left="0" w:right="0" w:firstLine="36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本机构及法定代表人未被列入失信黑名单；本机构以上所填内容全部属实，不含虚假成分；如弄虚作假，造成的损失由本机构自行承担。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                 单位盖章：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年    月  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85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50" w:beforeAutospacing="0" w:after="450" w:afterAutospacing="0" w:line="585" w:lineRule="atLeast"/>
        <w:ind w:left="0" w:right="0"/>
      </w:pPr>
      <w:r>
        <w:rPr>
          <w:rFonts w:hint="eastAsia" w:ascii="微软雅黑" w:hAnsi="微软雅黑" w:eastAsia="微软雅黑" w:cs="微软雅黑"/>
          <w:color w:val="525353"/>
          <w:sz w:val="24"/>
          <w:szCs w:val="24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82F2B"/>
    <w:rsid w:val="02F8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34242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434242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3">
    <w:name w:val="layui-layer-tabnow"/>
    <w:basedOn w:val="4"/>
    <w:uiPriority w:val="0"/>
    <w:rPr>
      <w:bdr w:val="single" w:color="CCCCCC" w:sz="6" w:space="0"/>
      <w:shd w:val="clear" w:fill="FFFFFF"/>
    </w:rPr>
  </w:style>
  <w:style w:type="character" w:customStyle="1" w:styleId="14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2020-04-03T01:40:00Z</dcterms:created>
  <dc:creator>秋叶夏花</dc:creator>
  <cp:lastModifiedBy>秋叶夏花</cp:lastModifiedBy>
  <dcterms:modified xsi:type="dcterms:W3CDTF">2020-04-03T01:40:52Z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