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21"/>
          <w:szCs w:val="21"/>
        </w:rPr>
      </w:pPr>
      <w:r>
        <w:rPr>
          <w:rFonts w:ascii="黑体" w:hAnsi="宋体" w:eastAsia="黑体" w:cs="黑体"/>
          <w:i w:val="0"/>
          <w:caps w:val="0"/>
          <w:color w:val="333333"/>
          <w:spacing w:val="0"/>
          <w:sz w:val="28"/>
          <w:szCs w:val="28"/>
          <w:bdr w:val="none" w:color="auto" w:sz="0" w:space="0"/>
          <w:shd w:val="clear" w:fill="FFFFFF"/>
        </w:rPr>
        <w:t>附件</w:t>
      </w:r>
      <w:r>
        <w:rPr>
          <w:rFonts w:hint="eastAsia" w:ascii="黑体" w:hAnsi="宋体" w:eastAsia="黑体" w:cs="黑体"/>
          <w:i w:val="0"/>
          <w:caps w:val="0"/>
          <w:color w:val="333333"/>
          <w:spacing w:val="0"/>
          <w:sz w:val="28"/>
          <w:szCs w:val="28"/>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ascii="方正小标宋_GBK" w:hAnsi="方正小标宋_GBK" w:eastAsia="方正小标宋_GBK" w:cs="方正小标宋_GBK"/>
          <w:i w:val="0"/>
          <w:caps w:val="0"/>
          <w:color w:val="333333"/>
          <w:spacing w:val="0"/>
          <w:sz w:val="43"/>
          <w:szCs w:val="43"/>
          <w:bdr w:val="none" w:color="auto" w:sz="0" w:space="0"/>
          <w:shd w:val="clear" w:fill="FFFFFF"/>
        </w:rPr>
        <w:t>海南国家公园研究院面向全球公开招聘工作人员岗位表</w:t>
      </w:r>
    </w:p>
    <w:tbl>
      <w:tblPr>
        <w:tblW w:w="857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3"/>
        <w:gridCol w:w="490"/>
        <w:gridCol w:w="1487"/>
        <w:gridCol w:w="1003"/>
        <w:gridCol w:w="874"/>
        <w:gridCol w:w="703"/>
        <w:gridCol w:w="1663"/>
        <w:gridCol w:w="931"/>
        <w:gridCol w:w="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2" w:hRule="atLeast"/>
          <w:tblCellSpacing w:w="15" w:type="dxa"/>
        </w:trPr>
        <w:tc>
          <w:tcPr>
            <w:tcW w:w="658" w:type="dxa"/>
            <w:vMerge w:val="restart"/>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Style w:val="5"/>
                <w:rFonts w:hint="eastAsia" w:ascii="黑体" w:hAnsi="宋体" w:eastAsia="黑体" w:cs="黑体"/>
                <w:b/>
                <w:sz w:val="21"/>
                <w:szCs w:val="21"/>
                <w:bdr w:val="none" w:color="auto" w:sz="0" w:space="0"/>
              </w:rPr>
              <w:t>招聘岗位</w:t>
            </w:r>
          </w:p>
        </w:tc>
        <w:tc>
          <w:tcPr>
            <w:tcW w:w="460" w:type="dxa"/>
            <w:vMerge w:val="restart"/>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Style w:val="5"/>
                <w:rFonts w:hint="eastAsia" w:ascii="黑体" w:hAnsi="宋体" w:eastAsia="黑体" w:cs="黑体"/>
                <w:b/>
                <w:sz w:val="21"/>
                <w:szCs w:val="21"/>
                <w:bdr w:val="none" w:color="auto" w:sz="0" w:space="0"/>
              </w:rPr>
              <w:t>名额</w:t>
            </w:r>
          </w:p>
        </w:tc>
        <w:tc>
          <w:tcPr>
            <w:tcW w:w="5700" w:type="dxa"/>
            <w:gridSpan w:val="5"/>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Style w:val="5"/>
                <w:rFonts w:hint="eastAsia" w:ascii="黑体" w:hAnsi="宋体" w:eastAsia="黑体" w:cs="黑体"/>
                <w:b/>
                <w:sz w:val="21"/>
                <w:szCs w:val="21"/>
                <w:bdr w:val="none" w:color="auto" w:sz="0" w:space="0"/>
              </w:rPr>
              <w:t>岗位资格条件</w:t>
            </w:r>
          </w:p>
        </w:tc>
        <w:tc>
          <w:tcPr>
            <w:tcW w:w="901" w:type="dxa"/>
            <w:vMerge w:val="restart"/>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Style w:val="5"/>
                <w:rFonts w:hint="eastAsia" w:ascii="黑体" w:hAnsi="宋体" w:eastAsia="黑体" w:cs="黑体"/>
                <w:b/>
                <w:sz w:val="21"/>
                <w:szCs w:val="21"/>
                <w:bdr w:val="none" w:color="auto" w:sz="0" w:space="0"/>
              </w:rPr>
              <w:t>薪酬待遇</w:t>
            </w:r>
            <w:r>
              <w:rPr>
                <w:rStyle w:val="5"/>
                <w:rFonts w:hint="eastAsia" w:ascii="黑体" w:hAnsi="宋体" w:eastAsia="黑体" w:cs="黑体"/>
                <w:b/>
                <w:sz w:val="21"/>
                <w:szCs w:val="21"/>
                <w:bdr w:val="none" w:color="auto" w:sz="0" w:space="0"/>
              </w:rPr>
              <w:br w:type="textWrapping"/>
            </w:r>
            <w:r>
              <w:rPr>
                <w:rStyle w:val="5"/>
                <w:rFonts w:hint="eastAsia" w:ascii="黑体" w:hAnsi="宋体" w:eastAsia="黑体" w:cs="黑体"/>
                <w:b/>
                <w:sz w:val="21"/>
                <w:szCs w:val="21"/>
                <w:bdr w:val="none" w:color="auto" w:sz="0" w:space="0"/>
              </w:rPr>
              <w:t>（万元/年）</w:t>
            </w:r>
          </w:p>
        </w:tc>
        <w:tc>
          <w:tcPr>
            <w:tcW w:w="679" w:type="dxa"/>
            <w:vMerge w:val="restart"/>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Style w:val="5"/>
                <w:rFonts w:hint="eastAsia" w:ascii="黑体" w:hAnsi="宋体" w:eastAsia="黑体" w:cs="黑体"/>
                <w:b/>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9" w:hRule="atLeast"/>
          <w:tblCellSpacing w:w="15" w:type="dxa"/>
        </w:trPr>
        <w:tc>
          <w:tcPr>
            <w:tcW w:w="658" w:type="dxa"/>
            <w:vMerge w:val="continue"/>
            <w:tcBorders>
              <w:top w:val="nil"/>
              <w:left w:val="nil"/>
              <w:bottom w:val="nil"/>
              <w:right w:val="nil"/>
            </w:tcBorders>
            <w:shd w:val="clear"/>
            <w:tcMar>
              <w:top w:w="15" w:type="dxa"/>
              <w:left w:w="15" w:type="dxa"/>
              <w:bottom w:w="15" w:type="dxa"/>
              <w:right w:w="15" w:type="dxa"/>
            </w:tcMar>
            <w:vAlign w:val="center"/>
          </w:tcPr>
          <w:p>
            <w:pPr>
              <w:rPr>
                <w:rFonts w:hint="eastAsia" w:ascii="宋体"/>
                <w:sz w:val="21"/>
                <w:szCs w:val="21"/>
              </w:rPr>
            </w:pPr>
          </w:p>
        </w:tc>
        <w:tc>
          <w:tcPr>
            <w:tcW w:w="460" w:type="dxa"/>
            <w:vMerge w:val="continue"/>
            <w:tcBorders>
              <w:top w:val="nil"/>
              <w:left w:val="nil"/>
              <w:bottom w:val="nil"/>
              <w:right w:val="nil"/>
            </w:tcBorders>
            <w:shd w:val="clear"/>
            <w:tcMar>
              <w:top w:w="15" w:type="dxa"/>
              <w:left w:w="15" w:type="dxa"/>
              <w:bottom w:w="15" w:type="dxa"/>
              <w:right w:w="15" w:type="dxa"/>
            </w:tcMar>
            <w:vAlign w:val="center"/>
          </w:tcPr>
          <w:p>
            <w:pPr>
              <w:rPr>
                <w:rFonts w:hint="eastAsia" w:ascii="宋体"/>
                <w:sz w:val="21"/>
                <w:szCs w:val="21"/>
              </w:rPr>
            </w:pPr>
          </w:p>
        </w:tc>
        <w:tc>
          <w:tcPr>
            <w:tcW w:w="1457"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Style w:val="5"/>
                <w:rFonts w:hint="eastAsia" w:ascii="黑体" w:hAnsi="宋体" w:eastAsia="黑体" w:cs="黑体"/>
                <w:b/>
                <w:sz w:val="21"/>
                <w:szCs w:val="21"/>
                <w:bdr w:val="none" w:color="auto" w:sz="0" w:space="0"/>
              </w:rPr>
              <w:t>专业</w:t>
            </w:r>
          </w:p>
        </w:tc>
        <w:tc>
          <w:tcPr>
            <w:tcW w:w="97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Style w:val="5"/>
                <w:rFonts w:hint="eastAsia" w:ascii="黑体" w:hAnsi="宋体" w:eastAsia="黑体" w:cs="黑体"/>
                <w:b/>
                <w:sz w:val="21"/>
                <w:szCs w:val="21"/>
                <w:bdr w:val="none" w:color="auto" w:sz="0" w:space="0"/>
              </w:rPr>
              <w:t>学历学位</w:t>
            </w:r>
          </w:p>
        </w:tc>
        <w:tc>
          <w:tcPr>
            <w:tcW w:w="844"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Style w:val="5"/>
                <w:rFonts w:hint="eastAsia" w:ascii="黑体" w:hAnsi="宋体" w:eastAsia="黑体" w:cs="黑体"/>
                <w:b/>
                <w:sz w:val="21"/>
                <w:szCs w:val="21"/>
                <w:bdr w:val="none" w:color="auto" w:sz="0" w:space="0"/>
              </w:rPr>
              <w:t>年龄</w:t>
            </w:r>
          </w:p>
        </w:tc>
        <w:tc>
          <w:tcPr>
            <w:tcW w:w="67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Style w:val="5"/>
                <w:rFonts w:hint="eastAsia" w:ascii="黑体" w:hAnsi="宋体" w:eastAsia="黑体" w:cs="黑体"/>
                <w:b/>
                <w:sz w:val="21"/>
                <w:szCs w:val="21"/>
                <w:bdr w:val="none" w:color="auto" w:sz="0" w:space="0"/>
              </w:rPr>
              <w:t>相关工作经验</w:t>
            </w:r>
          </w:p>
        </w:tc>
        <w:tc>
          <w:tcPr>
            <w:tcW w:w="163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Style w:val="5"/>
                <w:rFonts w:hint="eastAsia" w:ascii="黑体" w:hAnsi="宋体" w:eastAsia="黑体" w:cs="黑体"/>
                <w:b/>
                <w:sz w:val="21"/>
                <w:szCs w:val="21"/>
                <w:bdr w:val="none" w:color="auto" w:sz="0" w:space="0"/>
              </w:rPr>
              <w:t>专业技术或</w:t>
            </w:r>
            <w:r>
              <w:rPr>
                <w:rStyle w:val="5"/>
                <w:rFonts w:hint="eastAsia" w:ascii="黑体" w:hAnsi="宋体" w:eastAsia="黑体" w:cs="黑体"/>
                <w:b/>
                <w:sz w:val="21"/>
                <w:szCs w:val="21"/>
                <w:bdr w:val="none" w:color="auto" w:sz="0" w:space="0"/>
              </w:rPr>
              <w:br w:type="textWrapping"/>
            </w:r>
            <w:r>
              <w:rPr>
                <w:rStyle w:val="5"/>
                <w:rFonts w:hint="eastAsia" w:ascii="黑体" w:hAnsi="宋体" w:eastAsia="黑体" w:cs="黑体"/>
                <w:b/>
                <w:sz w:val="21"/>
                <w:szCs w:val="21"/>
                <w:bdr w:val="none" w:color="auto" w:sz="0" w:space="0"/>
              </w:rPr>
              <w:t>职业技能资格</w:t>
            </w:r>
          </w:p>
        </w:tc>
        <w:tc>
          <w:tcPr>
            <w:tcW w:w="901" w:type="dxa"/>
            <w:vMerge w:val="continue"/>
            <w:tcBorders>
              <w:top w:val="nil"/>
              <w:left w:val="nil"/>
              <w:bottom w:val="nil"/>
              <w:right w:val="nil"/>
            </w:tcBorders>
            <w:shd w:val="clear"/>
            <w:tcMar>
              <w:top w:w="15" w:type="dxa"/>
              <w:left w:w="15" w:type="dxa"/>
              <w:bottom w:w="15" w:type="dxa"/>
              <w:right w:w="15" w:type="dxa"/>
            </w:tcMar>
            <w:vAlign w:val="center"/>
          </w:tcPr>
          <w:p>
            <w:pPr>
              <w:rPr>
                <w:rFonts w:hint="eastAsia" w:ascii="宋体"/>
                <w:sz w:val="21"/>
                <w:szCs w:val="21"/>
              </w:rPr>
            </w:pPr>
          </w:p>
        </w:tc>
        <w:tc>
          <w:tcPr>
            <w:tcW w:w="679" w:type="dxa"/>
            <w:vMerge w:val="continue"/>
            <w:tcBorders>
              <w:top w:val="nil"/>
              <w:left w:val="nil"/>
              <w:bottom w:val="nil"/>
              <w:right w:val="nil"/>
            </w:tcBorders>
            <w:shd w:val="clear"/>
            <w:tcMar>
              <w:top w:w="15" w:type="dxa"/>
              <w:left w:w="15" w:type="dxa"/>
              <w:bottom w:w="15" w:type="dxa"/>
              <w:right w:w="1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89" w:hRule="atLeast"/>
          <w:tblCellSpacing w:w="15" w:type="dxa"/>
        </w:trPr>
        <w:tc>
          <w:tcPr>
            <w:tcW w:w="658"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技术管理岗</w:t>
            </w:r>
          </w:p>
        </w:tc>
        <w:tc>
          <w:tcPr>
            <w:tcW w:w="460"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1</w:t>
            </w:r>
          </w:p>
        </w:tc>
        <w:tc>
          <w:tcPr>
            <w:tcW w:w="1457"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生物、海洋、环境生态、农业等专业</w:t>
            </w:r>
          </w:p>
        </w:tc>
        <w:tc>
          <w:tcPr>
            <w:tcW w:w="97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硕士研究生及以上学历学位</w:t>
            </w:r>
          </w:p>
        </w:tc>
        <w:tc>
          <w:tcPr>
            <w:tcW w:w="844"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45周岁以下，工作业绩突出的可放宽年龄。</w:t>
            </w:r>
          </w:p>
        </w:tc>
        <w:tc>
          <w:tcPr>
            <w:tcW w:w="67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5年以上</w:t>
            </w:r>
          </w:p>
        </w:tc>
        <w:tc>
          <w:tcPr>
            <w:tcW w:w="163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1.中级及以上职称。</w:t>
            </w:r>
            <w:r>
              <w:rPr>
                <w:rFonts w:hint="eastAsia" w:ascii="黑体" w:hAnsi="宋体" w:eastAsia="黑体" w:cs="黑体"/>
                <w:sz w:val="21"/>
                <w:szCs w:val="21"/>
                <w:bdr w:val="none" w:color="auto" w:sz="0" w:space="0"/>
              </w:rPr>
              <w:br w:type="textWrapping"/>
            </w:r>
            <w:r>
              <w:rPr>
                <w:rFonts w:hint="eastAsia" w:ascii="黑体" w:hAnsi="宋体" w:eastAsia="黑体" w:cs="黑体"/>
                <w:sz w:val="21"/>
                <w:szCs w:val="21"/>
                <w:bdr w:val="none" w:color="auto" w:sz="0" w:space="0"/>
              </w:rPr>
              <w:t>2.有海南长臂猿等珍稀物</w:t>
            </w:r>
            <w:bookmarkStart w:id="0" w:name="_GoBack"/>
            <w:bookmarkEnd w:id="0"/>
            <w:r>
              <w:rPr>
                <w:rFonts w:hint="eastAsia" w:ascii="黑体" w:hAnsi="宋体" w:eastAsia="黑体" w:cs="黑体"/>
                <w:sz w:val="21"/>
                <w:szCs w:val="21"/>
                <w:bdr w:val="none" w:color="auto" w:sz="0" w:space="0"/>
              </w:rPr>
              <w:t>种保护研究经验者优先。</w:t>
            </w:r>
          </w:p>
        </w:tc>
        <w:tc>
          <w:tcPr>
            <w:tcW w:w="901"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30—50万</w:t>
            </w:r>
            <w:r>
              <w:rPr>
                <w:rFonts w:hint="eastAsia" w:ascii="黑体" w:hAnsi="宋体" w:eastAsia="黑体" w:cs="黑体"/>
                <w:sz w:val="21"/>
                <w:szCs w:val="21"/>
                <w:bdr w:val="none" w:color="auto" w:sz="0" w:space="0"/>
              </w:rPr>
              <w:br w:type="textWrapping"/>
            </w:r>
            <w:r>
              <w:rPr>
                <w:rFonts w:hint="eastAsia" w:ascii="黑体" w:hAnsi="宋体" w:eastAsia="黑体" w:cs="黑体"/>
                <w:sz w:val="21"/>
                <w:szCs w:val="21"/>
                <w:bdr w:val="none" w:color="auto" w:sz="0" w:space="0"/>
              </w:rPr>
              <w:t>（具体面议）</w:t>
            </w:r>
          </w:p>
        </w:tc>
        <w:tc>
          <w:tcPr>
            <w:tcW w:w="679"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年龄计算截至2020年12月31日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08" w:hRule="atLeast"/>
          <w:tblCellSpacing w:w="15" w:type="dxa"/>
        </w:trPr>
        <w:tc>
          <w:tcPr>
            <w:tcW w:w="658"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综合管理岗</w:t>
            </w:r>
          </w:p>
        </w:tc>
        <w:tc>
          <w:tcPr>
            <w:tcW w:w="460"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1</w:t>
            </w:r>
          </w:p>
        </w:tc>
        <w:tc>
          <w:tcPr>
            <w:tcW w:w="1457"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管理（经济管理类、工商管理类、旅游管理类）、英语等专业</w:t>
            </w:r>
          </w:p>
        </w:tc>
        <w:tc>
          <w:tcPr>
            <w:tcW w:w="97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硕士研究生及以上学历学位</w:t>
            </w:r>
          </w:p>
        </w:tc>
        <w:tc>
          <w:tcPr>
            <w:tcW w:w="844"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45周岁以下，工作业绩突出的可放宽年龄。</w:t>
            </w:r>
          </w:p>
        </w:tc>
        <w:tc>
          <w:tcPr>
            <w:tcW w:w="67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5年以上</w:t>
            </w:r>
          </w:p>
        </w:tc>
        <w:tc>
          <w:tcPr>
            <w:tcW w:w="163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1.中级及以上职称。</w:t>
            </w:r>
            <w:r>
              <w:rPr>
                <w:rFonts w:hint="eastAsia" w:ascii="黑体" w:hAnsi="宋体" w:eastAsia="黑体" w:cs="黑体"/>
                <w:sz w:val="21"/>
                <w:szCs w:val="21"/>
                <w:bdr w:val="none" w:color="auto" w:sz="0" w:space="0"/>
              </w:rPr>
              <w:br w:type="textWrapping"/>
            </w:r>
            <w:r>
              <w:rPr>
                <w:rFonts w:hint="eastAsia" w:ascii="黑体" w:hAnsi="宋体" w:eastAsia="黑体" w:cs="黑体"/>
                <w:sz w:val="21"/>
                <w:szCs w:val="21"/>
                <w:bdr w:val="none" w:color="auto" w:sz="0" w:space="0"/>
              </w:rPr>
              <w:t>2.具备较强的文字综合及沟通协调能力。</w:t>
            </w:r>
            <w:r>
              <w:rPr>
                <w:rFonts w:hint="eastAsia" w:ascii="黑体" w:hAnsi="宋体" w:eastAsia="黑体" w:cs="黑体"/>
                <w:sz w:val="21"/>
                <w:szCs w:val="21"/>
                <w:bdr w:val="none" w:color="auto" w:sz="0" w:space="0"/>
              </w:rPr>
              <w:br w:type="textWrapping"/>
            </w:r>
            <w:r>
              <w:rPr>
                <w:rFonts w:hint="eastAsia" w:ascii="黑体" w:hAnsi="宋体" w:eastAsia="黑体" w:cs="黑体"/>
                <w:sz w:val="21"/>
                <w:szCs w:val="21"/>
                <w:bdr w:val="none" w:color="auto" w:sz="0" w:space="0"/>
              </w:rPr>
              <w:t>3.有智库报告攥写、论坛筹备经验者优先。</w:t>
            </w:r>
          </w:p>
        </w:tc>
        <w:tc>
          <w:tcPr>
            <w:tcW w:w="901"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30—50万</w:t>
            </w:r>
            <w:r>
              <w:rPr>
                <w:rFonts w:hint="eastAsia" w:ascii="黑体" w:hAnsi="宋体" w:eastAsia="黑体" w:cs="黑体"/>
                <w:sz w:val="21"/>
                <w:szCs w:val="21"/>
                <w:bdr w:val="none" w:color="auto" w:sz="0" w:space="0"/>
              </w:rPr>
              <w:br w:type="textWrapping"/>
            </w:r>
            <w:r>
              <w:rPr>
                <w:rFonts w:hint="eastAsia" w:ascii="黑体" w:hAnsi="宋体" w:eastAsia="黑体" w:cs="黑体"/>
                <w:sz w:val="21"/>
                <w:szCs w:val="21"/>
                <w:bdr w:val="none" w:color="auto" w:sz="0" w:space="0"/>
              </w:rPr>
              <w:t>（具体面议）</w:t>
            </w:r>
          </w:p>
        </w:tc>
        <w:tc>
          <w:tcPr>
            <w:tcW w:w="679"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年龄计算截至2020年12月31日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5" w:hRule="atLeast"/>
          <w:tblCellSpacing w:w="15" w:type="dxa"/>
        </w:trPr>
        <w:tc>
          <w:tcPr>
            <w:tcW w:w="658"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助理岗1</w:t>
            </w:r>
          </w:p>
        </w:tc>
        <w:tc>
          <w:tcPr>
            <w:tcW w:w="460"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2</w:t>
            </w:r>
          </w:p>
        </w:tc>
        <w:tc>
          <w:tcPr>
            <w:tcW w:w="1457"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生物、海洋、环境生态、农业等专业</w:t>
            </w:r>
          </w:p>
        </w:tc>
        <w:tc>
          <w:tcPr>
            <w:tcW w:w="97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硕士研究生及以上学历学位</w:t>
            </w:r>
          </w:p>
        </w:tc>
        <w:tc>
          <w:tcPr>
            <w:tcW w:w="844"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30周岁以下</w:t>
            </w:r>
          </w:p>
        </w:tc>
        <w:tc>
          <w:tcPr>
            <w:tcW w:w="67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3年以上</w:t>
            </w:r>
          </w:p>
        </w:tc>
        <w:tc>
          <w:tcPr>
            <w:tcW w:w="163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1.具备良好的文字综合及沟通协调能力。</w:t>
            </w:r>
            <w:r>
              <w:rPr>
                <w:rFonts w:hint="eastAsia" w:ascii="黑体" w:hAnsi="宋体" w:eastAsia="黑体" w:cs="黑体"/>
                <w:sz w:val="21"/>
                <w:szCs w:val="21"/>
                <w:bdr w:val="none" w:color="auto" w:sz="0" w:space="0"/>
              </w:rPr>
              <w:br w:type="textWrapping"/>
            </w:r>
            <w:r>
              <w:rPr>
                <w:rFonts w:hint="eastAsia" w:ascii="黑体" w:hAnsi="宋体" w:eastAsia="黑体" w:cs="黑体"/>
                <w:sz w:val="21"/>
                <w:szCs w:val="21"/>
                <w:bdr w:val="none" w:color="auto" w:sz="0" w:space="0"/>
              </w:rPr>
              <w:t>2.有海南长臂猿等珍稀物种保护研究经验者优先。</w:t>
            </w:r>
          </w:p>
        </w:tc>
        <w:tc>
          <w:tcPr>
            <w:tcW w:w="901"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10—30万</w:t>
            </w:r>
            <w:r>
              <w:rPr>
                <w:rFonts w:hint="eastAsia" w:ascii="黑体" w:hAnsi="宋体" w:eastAsia="黑体" w:cs="黑体"/>
                <w:sz w:val="21"/>
                <w:szCs w:val="21"/>
                <w:bdr w:val="none" w:color="auto" w:sz="0" w:space="0"/>
              </w:rPr>
              <w:br w:type="textWrapping"/>
            </w:r>
            <w:r>
              <w:rPr>
                <w:rFonts w:hint="eastAsia" w:ascii="黑体" w:hAnsi="宋体" w:eastAsia="黑体" w:cs="黑体"/>
                <w:sz w:val="21"/>
                <w:szCs w:val="21"/>
                <w:bdr w:val="none" w:color="auto" w:sz="0" w:space="0"/>
              </w:rPr>
              <w:t>（具体面议）</w:t>
            </w:r>
          </w:p>
        </w:tc>
        <w:tc>
          <w:tcPr>
            <w:tcW w:w="679"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年龄计算截至2020年12月31日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5" w:hRule="atLeast"/>
          <w:tblCellSpacing w:w="15" w:type="dxa"/>
        </w:trPr>
        <w:tc>
          <w:tcPr>
            <w:tcW w:w="658"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助理岗2</w:t>
            </w:r>
          </w:p>
        </w:tc>
        <w:tc>
          <w:tcPr>
            <w:tcW w:w="460"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2</w:t>
            </w:r>
          </w:p>
        </w:tc>
        <w:tc>
          <w:tcPr>
            <w:tcW w:w="1457"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管理（经济管理类、工商管理类、旅游管理类）、英语等专业</w:t>
            </w:r>
          </w:p>
        </w:tc>
        <w:tc>
          <w:tcPr>
            <w:tcW w:w="97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硕士研究生及以上学历学位</w:t>
            </w:r>
          </w:p>
        </w:tc>
        <w:tc>
          <w:tcPr>
            <w:tcW w:w="844"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30周岁以下</w:t>
            </w:r>
          </w:p>
        </w:tc>
        <w:tc>
          <w:tcPr>
            <w:tcW w:w="67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不限</w:t>
            </w:r>
          </w:p>
        </w:tc>
        <w:tc>
          <w:tcPr>
            <w:tcW w:w="1633"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1.具备良好的文字综合及沟通协调能力。</w:t>
            </w:r>
            <w:r>
              <w:rPr>
                <w:rFonts w:hint="eastAsia" w:ascii="黑体" w:hAnsi="宋体" w:eastAsia="黑体" w:cs="黑体"/>
                <w:sz w:val="21"/>
                <w:szCs w:val="21"/>
                <w:bdr w:val="none" w:color="auto" w:sz="0" w:space="0"/>
              </w:rPr>
              <w:br w:type="textWrapping"/>
            </w:r>
            <w:r>
              <w:rPr>
                <w:rFonts w:hint="eastAsia" w:ascii="黑体" w:hAnsi="宋体" w:eastAsia="黑体" w:cs="黑体"/>
                <w:sz w:val="21"/>
                <w:szCs w:val="21"/>
                <w:bdr w:val="none" w:color="auto" w:sz="0" w:space="0"/>
              </w:rPr>
              <w:t>2.有海南长臂猿等珍稀物种保护研究经验者优先。</w:t>
            </w:r>
          </w:p>
        </w:tc>
        <w:tc>
          <w:tcPr>
            <w:tcW w:w="901"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textAlignment w:val="center"/>
              <w:rPr>
                <w:sz w:val="21"/>
                <w:szCs w:val="21"/>
              </w:rPr>
            </w:pPr>
            <w:r>
              <w:rPr>
                <w:rFonts w:hint="eastAsia" w:ascii="黑体" w:hAnsi="宋体" w:eastAsia="黑体" w:cs="黑体"/>
                <w:sz w:val="21"/>
                <w:szCs w:val="21"/>
                <w:bdr w:val="none" w:color="auto" w:sz="0" w:space="0"/>
              </w:rPr>
              <w:t>5—10万</w:t>
            </w:r>
            <w:r>
              <w:rPr>
                <w:rFonts w:hint="eastAsia" w:ascii="黑体" w:hAnsi="宋体" w:eastAsia="黑体" w:cs="黑体"/>
                <w:sz w:val="21"/>
                <w:szCs w:val="21"/>
                <w:bdr w:val="none" w:color="auto" w:sz="0" w:space="0"/>
              </w:rPr>
              <w:br w:type="textWrapping"/>
            </w:r>
            <w:r>
              <w:rPr>
                <w:rFonts w:hint="eastAsia" w:ascii="黑体" w:hAnsi="宋体" w:eastAsia="黑体" w:cs="黑体"/>
                <w:sz w:val="21"/>
                <w:szCs w:val="21"/>
                <w:bdr w:val="none" w:color="auto" w:sz="0" w:space="0"/>
              </w:rPr>
              <w:t>（具体面议）</w:t>
            </w:r>
          </w:p>
        </w:tc>
        <w:tc>
          <w:tcPr>
            <w:tcW w:w="679" w:type="dxa"/>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textAlignment w:val="center"/>
              <w:rPr>
                <w:sz w:val="21"/>
                <w:szCs w:val="21"/>
              </w:rPr>
            </w:pPr>
            <w:r>
              <w:rPr>
                <w:rFonts w:hint="eastAsia" w:ascii="黑体" w:hAnsi="宋体" w:eastAsia="黑体" w:cs="黑体"/>
                <w:sz w:val="21"/>
                <w:szCs w:val="21"/>
                <w:bdr w:val="none" w:color="auto" w:sz="0" w:space="0"/>
              </w:rPr>
              <w:t>年龄计算截至2020年12月31日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_GBK" w:hAnsi="方正小标宋_GBK" w:eastAsia="方正小标宋_GBK" w:cs="方正小标宋_GBK"/>
          <w:i w:val="0"/>
          <w:caps w:val="0"/>
          <w:color w:val="333333"/>
          <w:spacing w:val="0"/>
          <w:sz w:val="43"/>
          <w:szCs w:val="43"/>
          <w:bdr w:val="none" w:color="auto" w:sz="0" w:space="0"/>
          <w:shd w:val="clear" w:fill="FFFFFF"/>
        </w:rPr>
        <w:t>海南国家公园研究院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_GBK" w:hAnsi="方正小标宋_GBK" w:eastAsia="方正小标宋_GBK" w:cs="方正小标宋_GBK"/>
          <w:i w:val="0"/>
          <w:caps w:val="0"/>
          <w:color w:val="333333"/>
          <w:spacing w:val="0"/>
          <w:sz w:val="43"/>
          <w:szCs w:val="43"/>
          <w:bdr w:val="none" w:color="auto" w:sz="0" w:space="0"/>
          <w:shd w:val="clear" w:fill="FFFFFF"/>
        </w:rPr>
        <w:t>简   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ascii="仿宋" w:hAnsi="仿宋" w:eastAsia="仿宋" w:cs="仿宋"/>
          <w:i w:val="0"/>
          <w:caps w:val="0"/>
          <w:color w:val="333333"/>
          <w:spacing w:val="0"/>
          <w:sz w:val="31"/>
          <w:szCs w:val="31"/>
          <w:bdr w:val="none" w:color="auto" w:sz="0" w:space="0"/>
          <w:shd w:val="clear" w:fill="FFFFFF"/>
        </w:rPr>
        <w:t>海南国家公园研究院是由海南热带雨林国家公园管理局、海南大学、中国热带农业科学院、中国林业科学研究院、北京林业大学共同发起成立，以着力推进海南国家公园建设及服务于全球国家公园的有效保护和合理利用为主要任务，集理论研究平台、高端智库平台、高端论坛平台、国际合作平台、人才培养平台、数据化与信息库平台为一体的综合性科研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海南国家公园研究院为海南省委编办登记事业单位法人，不纳入机构编制管理的非盈利性事业单位。世界自然保护联盟(IUCN)总裁兼理事会主席章新胜任理事长；海南热带雨林国家公园管理局局长夏斐任常务副理事长；海南大学校长骆清铭院士任副理事长、院长（兼）；国家林业和草原局以国家公园为主体的自然保护地体系工作领导小组副组长张鸿文、中国林业科学研究院院长刘世荣、中国热带农业科学院院长王庆煌、北京林业大学校长安黎哲任副理事长；原哈佛大学设计学研究生院院长、哈佛大学杰出服务教授彼得.罗（Peter G. Rowe）等12名国内外知名专家学者任理事。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海南国家公园研究院拥有丰富的国际和国内学术资源，汇集了近200名生物科学、海洋科学、法学、经济学、管理学及其他人文社科类等专业的优秀人才，与全球和国内许多知名智库、高校及研究机构建立了稳固的合作关系。每年围绕国家公园发展、热带雨林及生态环境保护等重大理论和政策问题，举办若干高层次国内和国际研讨会，并为地方政府、行业组织和企业提供政策建议、咨询及相关教学和培训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海南国家公园研究院致力于建设成为面向全球的开放性共享平台，打造成国际一流智库和科研、人才培养基地，旨在引领热带地区国家公园保护与发展方向，推广国家公园与地区发展成功经验，提供自然与人类社会和谐发展的海南方案、中国方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D3E2B"/>
    <w:rsid w:val="7BED3E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2020-04-03T02:55:00Z</dcterms:created>
  <dc:creator>不栉进士-小娜娜</dc:creator>
  <cp:lastModifiedBy>不栉进士-小娜娜</cp:lastModifiedBy>
  <dcterms:modified xsi:type="dcterms:W3CDTF">2020-04-03T02:56:28Z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