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4" w:rsidRPr="00BA3A84" w:rsidRDefault="00BA3A84" w:rsidP="00BA3A84">
      <w:pPr>
        <w:widowControl/>
        <w:ind w:firstLineChars="0" w:firstLine="3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BA3A84">
        <w:rPr>
          <w:rFonts w:ascii="microsoft yahei" w:eastAsia="宋体" w:hAnsi="microsoft yahei" w:cs="宋体"/>
          <w:b/>
          <w:color w:val="333333"/>
          <w:kern w:val="0"/>
          <w:sz w:val="19"/>
          <w:szCs w:val="19"/>
          <w:shd w:val="clear" w:color="auto" w:fill="FFFFFF"/>
        </w:rPr>
        <w:t>十三师公安机关聘用警务辅助人员体检项目和标准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第一条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身高、体重标准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男性身高一般不低于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170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厘米，体重不低于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50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千克。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过于肥胖或消瘦者，不能录用。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判定过于肥胖或消瘦者按以下方法：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实际体重超过标准体重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25%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以上者为过于肥胖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实际体重低于标准体重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15%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以上者为过于瘦弱。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标准体重计算方法：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标准体重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千克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)=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身高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-(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)110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超出和低于标准体重的百分数计算方法：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〔实际体重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千克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)-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标准体重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千克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〕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÷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标准体重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千克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)×100%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外伤所致的颅骨缺损、骨折、颅骨凹陷、颅内异物存留等，颅脑外伤后遗症，颅脑畸形，颅脑手术史，慢性颅内压增高，不能录用。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有胸、腹腔内重要脏器手术史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阑尾炎手术后半年以上者，腹股沟疝、股疝手术后一年以上无后遗症者除外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骨、关节、滑囊、膨鞘疾病或损伤及其后遗症，骨、关节畸形，习惯性脱臼，脊柱慢性疾病，胸廓畸形，不可自行矫正的脊柱侧弯、驼背，慢性腰腿痛，大骨节病指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趾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关节粗大，存在功能障碍者，不能录用。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第五条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两下肢不等长超过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厘米，膝内翻股骨内髁间距离和膝外翻胫骨内踝间距离超过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7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厘米，或虽在上述规定范围内但步态异常，不能录用。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第六条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影响功能及外观的指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趾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残缺、畸形，足底弓完全消失的扁平足，影响长途行走的鸡眼、胼胝，重度皲裂症，不能录用。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第七条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恶性肿瘤，影响面容或功能的各部位良性肿瘤、囊肿、瘢痕、瘢痕体质，不能录用。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第八条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颈强直，不能自行矫正的斜颈，三度以上单纯性甲状腺肿，结核性淋巴结炎，不能录用。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第九条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脉管炎，动脉瘤，重度下肢静脉曲张，重度精索静脉曲张，不能录用。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泌尿生殖系统炎症、结核、结石等疾病或损伤及其后遗症，影响功能的生殖器官畸形或发育不全，隐睾，不能录用。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第十一条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重度腋臭、头癣，泛发性体癣，疥疮，慢性湿疹，慢性荨麻疹，神经性皮炎，白癫风，银屑，与传染性麻风病人有密切接触史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共同生活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及其它有传染性或难以治愈的皮肤病，不能录用。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第十二条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影响面容的血管痣和色素痣，身体裸露部位有明显癜痕、疤痕、色素癍和身体其它大面积的疤痕挛缩，不能录用。　　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第十三条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淋病，梅毒，软下疳和性病淋巴肉芽肿，非淋球菌性尿道炎，尖锐湿疣，艾滋病及病毒携带者，不能录用。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第十四条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纹身者不能录用。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lastRenderedPageBreak/>
        <w:t>第十五条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器质性心脏、血管疾病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风湿性心脏病、先天性心脏病、心肌病、冠心病等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，心电图异常，不能录用。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第十六条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血压超出下述范围，不能录用：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收缩压：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12.00-- 18. 66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千帕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(9 0--140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毫米汞柱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);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舒张压：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8.00--11.46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千帕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(60--86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毫米汞柱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第十七条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有各种恶性肿瘤病史者，不能录用。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第十八条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慢性支气管炎，支气管哮喘，各型肺结核及肺外结核，结核性胸膜炎及其它呼吸系统慢性疾病，不能录用。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第十九条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各种原因导致的一叶肺不张者，不能录用。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胃、十二指肠溃疡，严重胃下垂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超过髂前上嵴联线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，肝脏、胆囊、脾脏、胰腺疾病，细菌性痢疾，慢性肠炎，腹部包块，不能录用。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下列情况可以录用：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仰卧位，平静呼吸，在右锁骨中线肋缘下扪到肝脏不超过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剑突下不超过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，质软，边薄，平滑，无触痛、扣击痛，肝上界在正常范围，无贫血，营养状况良好。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五年前患过甲型病毒性肝炎，治愈后再未复发，无症状和体征者。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既往患过疟疾、血吸虫病、黑热病、引起的脾脏肿大，在左肋缘下不超过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厘米，无自觉症状，无贫血，营养状况良好者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单纯性脾大不超过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厘米，无脾功能亢进者。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第二十一条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肝功能和乙型肝炎表面抗原检查，具有下列情况之一者不能录用。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丙氨酸氨基转移酶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 A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L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T)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酶法检验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40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单位以上者。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乙型肝炎表面抗原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( </w:t>
      </w:r>
      <w:proofErr w:type="spellStart"/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HBSAg</w:t>
      </w:r>
      <w:proofErr w:type="spellEnd"/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酶标法检验阳性者。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确诊为各型慢性肝炎及各种肝病患者。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第二十二条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急、慢性肾炎，单肾，多囊肾，肾功能不全，不能录用。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第二十三条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血栓闭塞性各期脉管炎、雷诺氏病，不能录用。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第二十四条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慢性腮腺炎、腮腺混合瘤不能录用。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第二十五条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除单纯缺铁性贫血，且血红蛋白男性高于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9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克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/dl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者以外，其他血液病患者不能录用。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第二十六条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各种内分泌及代谢系统疾病，结缔组织疾病，不能录用。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第二十七条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钩虫病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伴有贫血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，慢性疟疾，血吸虫病、黑热病、阿米巴痢疾、丝虫病，不能录用。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第二十八条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有癫痫病史、精神病史、癔病史、遗尿症、晕厥史、梦游症及神经官能症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经常头晕、失眠、记忆力明显下降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、智力低下，不能录用。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下列情况可以录用：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食物或药物中毒所引起的短时精神障碍，治愈后无后遗症。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十三周岁后未发生过遗尿。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lastRenderedPageBreak/>
        <w:t>第二十九条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中枢神经系统及周围神经系统疾病及其后遗症，不能录用。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口吃，嗓音明显嘶哑者，不能录用。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第三十一条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嗅觉丧失者，不能录用。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第三十二条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双耳失聪者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双侧听力耳语低于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4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米者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一侧听力正常，另一侧听力耳语低于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米者，不能录用。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第三十三条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眩晕病，重度晕车、晕船者，不能录用。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第三十四条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耳廓畸形，外耳道闭锁，反复发炎的耳前瘘管，耳廊、外耳道湿疹，耳霉菌病，不能录用。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第三十五条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鼓膜穿孔，化脓性中耳炎，乳突炎及其它难以治愈的耳病，不能录用。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第三十六条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鼻畸形，严重慢性副鼻窦炎，重度肥厚性鼻炎、萎缩性鼻炎，及其它影响鼻功能的鼻息肉及慢性鼻病，不能录用。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第三十七条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影响吞咽、发音功能难以治愈的咽、喉疾病，不能录用。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第三十八条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双侧视力低于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5 .0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，中心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度周围视野，不能录用。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第三十九条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色觉异常，不能录用。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第四十条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影响眼功能的眼睑，睑缘、结膜、泪器疾病，不能录用。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第四十一条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眼球突出，眼球震颤，眼肌疾病，共同性内、外斜视在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15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度以上者，不能录用。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第四十二条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角膜、巩膜、虹膜睫状体疾病，瞳孔变形，运动障碍，不能录用。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第四十三条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青光眼，晶状体、玻璃体、脉络膜、视神经疾病，不能录用。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第四十四条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三度龋齿、齿缺失并列在一起的超过两个，不在一起的超过三个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颌关节疾病，重度牙周病及影响咀嚼功能的口腔疾病，不能录用。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480"/>
        <w:jc w:val="righ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十三师公安局政治处</w:t>
      </w:r>
    </w:p>
    <w:p w:rsidR="00BA3A84" w:rsidRPr="00BA3A84" w:rsidRDefault="00BA3A84" w:rsidP="00BA3A84">
      <w:pPr>
        <w:widowControl/>
        <w:shd w:val="clear" w:color="auto" w:fill="FFFFFF"/>
        <w:spacing w:line="408" w:lineRule="atLeast"/>
        <w:ind w:firstLineChars="0" w:firstLine="380"/>
        <w:jc w:val="righ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月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14</w:t>
      </w:r>
      <w:r w:rsidRPr="00BA3A8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日</w:t>
      </w:r>
    </w:p>
    <w:p w:rsidR="00690FFA" w:rsidRPr="00BA3A84" w:rsidRDefault="00690FFA" w:rsidP="00BA3A84">
      <w:pPr>
        <w:ind w:firstLine="420"/>
      </w:pPr>
    </w:p>
    <w:sectPr w:rsidR="00690FFA" w:rsidRPr="00BA3A8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83"/>
    <w:rsid w:val="00690FFA"/>
    <w:rsid w:val="006B3BA3"/>
    <w:rsid w:val="007453AF"/>
    <w:rsid w:val="007A0D36"/>
    <w:rsid w:val="007C0ABD"/>
    <w:rsid w:val="007C7F1D"/>
    <w:rsid w:val="008C12E7"/>
    <w:rsid w:val="00974683"/>
    <w:rsid w:val="00BA3A84"/>
    <w:rsid w:val="00FC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68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453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5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2020-03-18T05:41:00Z</dcterms:created>
  <dcterms:modified xsi:type="dcterms:W3CDTF">2020-03-18T08:11:00Z</dcterms:modified>
</cp:coreProperties>
</file>