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tLeast"/>
        <w:jc w:val="center"/>
        <w:rPr>
          <w:rStyle w:val="9"/>
          <w:rFonts w:ascii="宋体" w:hAnsi="宋体" w:eastAsia="宋体" w:cs="宋体"/>
          <w:color w:val="000000"/>
          <w:kern w:val="0"/>
          <w:sz w:val="36"/>
          <w:szCs w:val="36"/>
          <w:lang w:bidi="ar"/>
        </w:rPr>
      </w:pPr>
      <w:r>
        <w:rPr>
          <w:rStyle w:val="9"/>
          <w:rFonts w:hint="eastAsia" w:ascii="宋体" w:hAnsi="宋体" w:eastAsia="宋体" w:cs="宋体"/>
          <w:color w:val="000000"/>
          <w:kern w:val="0"/>
          <w:sz w:val="36"/>
          <w:szCs w:val="36"/>
          <w:lang w:bidi="ar"/>
        </w:rPr>
        <w:t>2020年东营科技职业学院教师招聘简章</w:t>
      </w:r>
    </w:p>
    <w:p>
      <w:pPr>
        <w:widowControl/>
        <w:spacing w:line="360" w:lineRule="atLeast"/>
        <w:jc w:val="center"/>
        <w:rPr>
          <w:rStyle w:val="9"/>
          <w:rFonts w:ascii="宋体" w:hAnsi="宋体" w:eastAsia="宋体" w:cs="宋体"/>
          <w:color w:val="000000"/>
          <w:kern w:val="0"/>
          <w:sz w:val="36"/>
          <w:szCs w:val="36"/>
          <w:lang w:bidi="ar"/>
        </w:rPr>
      </w:pPr>
    </w:p>
    <w:p>
      <w:pPr>
        <w:widowControl/>
        <w:spacing w:line="360" w:lineRule="atLeast"/>
        <w:ind w:firstLine="640"/>
        <w:jc w:val="left"/>
        <w:rPr>
          <w:rFonts w:ascii="宋体" w:hAnsi="宋体" w:eastAsia="宋体" w:cs="宋体"/>
          <w:color w:val="000000"/>
          <w:kern w:val="0"/>
          <w:sz w:val="27"/>
          <w:szCs w:val="27"/>
          <w:lang w:bidi="ar"/>
        </w:rPr>
      </w:pPr>
      <w:r>
        <w:rPr>
          <w:rFonts w:ascii="宋体" w:hAnsi="宋体" w:eastAsia="宋体" w:cs="宋体"/>
          <w:color w:val="000000"/>
          <w:kern w:val="0"/>
          <w:sz w:val="27"/>
          <w:szCs w:val="27"/>
          <w:lang w:bidi="ar"/>
        </w:rPr>
        <w:t>东营科技职业学院是国家教育部备案</w:t>
      </w:r>
      <w:r>
        <w:rPr>
          <w:rFonts w:hint="eastAsia" w:ascii="宋体" w:hAnsi="宋体" w:eastAsia="宋体" w:cs="宋体"/>
          <w:color w:val="000000"/>
          <w:kern w:val="0"/>
          <w:sz w:val="27"/>
          <w:szCs w:val="27"/>
          <w:lang w:bidi="ar"/>
        </w:rPr>
        <w:t>的</w:t>
      </w:r>
      <w:r>
        <w:rPr>
          <w:rFonts w:ascii="宋体" w:hAnsi="宋体" w:eastAsia="宋体" w:cs="宋体"/>
          <w:color w:val="000000"/>
          <w:kern w:val="0"/>
          <w:sz w:val="27"/>
          <w:szCs w:val="27"/>
          <w:lang w:bidi="ar"/>
        </w:rPr>
        <w:t>以工科为主，特色鲜明的全日制普通高等职业院校。学校创建于19</w:t>
      </w:r>
      <w:r>
        <w:rPr>
          <w:rFonts w:hint="eastAsia" w:ascii="宋体" w:hAnsi="宋体" w:eastAsia="宋体" w:cs="宋体"/>
          <w:color w:val="000000"/>
          <w:kern w:val="0"/>
          <w:sz w:val="27"/>
          <w:szCs w:val="27"/>
          <w:lang w:bidi="ar"/>
        </w:rPr>
        <w:t>85</w:t>
      </w:r>
      <w:r>
        <w:rPr>
          <w:rFonts w:ascii="宋体" w:hAnsi="宋体" w:eastAsia="宋体" w:cs="宋体"/>
          <w:color w:val="000000"/>
          <w:kern w:val="0"/>
          <w:sz w:val="27"/>
          <w:szCs w:val="27"/>
          <w:lang w:bidi="ar"/>
        </w:rPr>
        <w:t>年</w:t>
      </w:r>
      <w:r>
        <w:rPr>
          <w:rFonts w:hint="eastAsia" w:ascii="宋体" w:hAnsi="宋体" w:eastAsia="宋体" w:cs="宋体"/>
          <w:color w:val="000000"/>
          <w:kern w:val="0"/>
          <w:sz w:val="27"/>
          <w:szCs w:val="27"/>
          <w:lang w:bidi="ar"/>
        </w:rPr>
        <w:t>，</w:t>
      </w:r>
      <w:r>
        <w:rPr>
          <w:rFonts w:ascii="宋体" w:hAnsi="宋体" w:eastAsia="宋体" w:cs="宋体"/>
          <w:color w:val="000000"/>
          <w:kern w:val="0"/>
          <w:sz w:val="27"/>
          <w:szCs w:val="27"/>
          <w:lang w:bidi="ar"/>
        </w:rPr>
        <w:t>学校</w:t>
      </w:r>
      <w:r>
        <w:rPr>
          <w:rFonts w:hint="eastAsia" w:ascii="宋体" w:hAnsi="宋体" w:eastAsia="宋体" w:cs="宋体"/>
          <w:color w:val="000000"/>
          <w:kern w:val="0"/>
          <w:sz w:val="27"/>
          <w:szCs w:val="27"/>
          <w:lang w:eastAsia="zh-CN" w:bidi="ar"/>
        </w:rPr>
        <w:t>现</w:t>
      </w:r>
      <w:r>
        <w:rPr>
          <w:rFonts w:ascii="宋体" w:hAnsi="宋体" w:eastAsia="宋体" w:cs="宋体"/>
          <w:color w:val="000000"/>
          <w:kern w:val="0"/>
          <w:sz w:val="27"/>
          <w:szCs w:val="27"/>
          <w:lang w:bidi="ar"/>
        </w:rPr>
        <w:t>设有</w:t>
      </w:r>
      <w:r>
        <w:rPr>
          <w:rFonts w:hint="eastAsia" w:ascii="宋体" w:hAnsi="宋体" w:eastAsia="宋体" w:cs="宋体"/>
          <w:color w:val="000000"/>
          <w:kern w:val="0"/>
          <w:sz w:val="27"/>
          <w:szCs w:val="27"/>
          <w:lang w:bidi="ar"/>
        </w:rPr>
        <w:t>机电工程学院、能源工程学院、会计学院、汽车工程学院、信息工程与建筑学院、工商管理学院、教师教育学院、航空与旅游学院</w:t>
      </w:r>
      <w:r>
        <w:rPr>
          <w:rFonts w:hint="eastAsia" w:ascii="宋体" w:hAnsi="宋体" w:eastAsia="宋体" w:cs="宋体"/>
          <w:color w:val="000000"/>
          <w:kern w:val="0"/>
          <w:sz w:val="27"/>
          <w:szCs w:val="27"/>
          <w:lang w:val="en-US" w:eastAsia="zh-CN" w:bidi="ar"/>
        </w:rPr>
        <w:t>8</w:t>
      </w:r>
      <w:bookmarkStart w:id="0" w:name="_GoBack"/>
      <w:bookmarkEnd w:id="0"/>
      <w:r>
        <w:rPr>
          <w:rFonts w:ascii="宋体" w:hAnsi="宋体" w:eastAsia="宋体" w:cs="宋体"/>
          <w:color w:val="000000"/>
          <w:kern w:val="0"/>
          <w:sz w:val="27"/>
          <w:szCs w:val="27"/>
          <w:lang w:bidi="ar"/>
        </w:rPr>
        <w:t>个二级学院，开设</w:t>
      </w:r>
      <w:r>
        <w:rPr>
          <w:rFonts w:hint="eastAsia" w:ascii="宋体" w:hAnsi="宋体" w:eastAsia="宋体" w:cs="宋体"/>
          <w:color w:val="000000"/>
          <w:kern w:val="0"/>
          <w:sz w:val="27"/>
          <w:szCs w:val="27"/>
          <w:lang w:val="en-US" w:eastAsia="zh-CN" w:bidi="ar"/>
        </w:rPr>
        <w:t>30个</w:t>
      </w:r>
      <w:r>
        <w:rPr>
          <w:rFonts w:ascii="宋体" w:hAnsi="宋体" w:eastAsia="宋体" w:cs="宋体"/>
          <w:color w:val="000000"/>
          <w:kern w:val="0"/>
          <w:sz w:val="27"/>
          <w:szCs w:val="27"/>
          <w:lang w:bidi="ar"/>
        </w:rPr>
        <w:t>高职专业。根据学院发展需要，现公开招聘</w:t>
      </w:r>
      <w:r>
        <w:rPr>
          <w:rFonts w:hint="eastAsia" w:ascii="宋体" w:hAnsi="宋体" w:eastAsia="宋体" w:cs="宋体"/>
          <w:color w:val="000000"/>
          <w:kern w:val="0"/>
          <w:sz w:val="27"/>
          <w:szCs w:val="27"/>
          <w:lang w:bidi="ar"/>
        </w:rPr>
        <w:t>专业教师</w:t>
      </w:r>
      <w:r>
        <w:rPr>
          <w:rFonts w:hint="eastAsia" w:ascii="宋体" w:hAnsi="宋体" w:eastAsia="宋体" w:cs="宋体"/>
          <w:color w:val="000000"/>
          <w:kern w:val="0"/>
          <w:sz w:val="27"/>
          <w:szCs w:val="27"/>
          <w:lang w:val="en-US" w:eastAsia="zh-CN" w:bidi="ar"/>
        </w:rPr>
        <w:t>46</w:t>
      </w:r>
      <w:r>
        <w:rPr>
          <w:rFonts w:hint="eastAsia" w:ascii="宋体" w:hAnsi="宋体" w:eastAsia="宋体" w:cs="宋体"/>
          <w:color w:val="000000"/>
          <w:kern w:val="0"/>
          <w:sz w:val="27"/>
          <w:szCs w:val="27"/>
          <w:lang w:bidi="ar"/>
        </w:rPr>
        <w:t>人</w:t>
      </w:r>
      <w:r>
        <w:rPr>
          <w:rFonts w:ascii="宋体" w:hAnsi="宋体" w:eastAsia="宋体" w:cs="宋体"/>
          <w:color w:val="000000"/>
          <w:kern w:val="0"/>
          <w:sz w:val="27"/>
          <w:szCs w:val="27"/>
          <w:lang w:bidi="ar"/>
        </w:rPr>
        <w:t>。</w:t>
      </w:r>
    </w:p>
    <w:p>
      <w:pPr>
        <w:widowControl/>
        <w:spacing w:line="360" w:lineRule="atLeast"/>
        <w:ind w:firstLine="640"/>
        <w:jc w:val="left"/>
        <w:rPr>
          <w:rFonts w:ascii="黑体" w:hAnsi="宋体" w:eastAsia="黑体" w:cs="黑体"/>
          <w:color w:val="000000"/>
          <w:kern w:val="0"/>
          <w:sz w:val="27"/>
          <w:szCs w:val="27"/>
          <w:lang w:bidi="ar"/>
        </w:rPr>
      </w:pPr>
      <w:r>
        <w:rPr>
          <w:rFonts w:hint="eastAsia" w:ascii="黑体" w:hAnsi="宋体" w:eastAsia="黑体" w:cs="黑体"/>
          <w:color w:val="000000"/>
          <w:kern w:val="0"/>
          <w:sz w:val="27"/>
          <w:szCs w:val="27"/>
          <w:lang w:bidi="ar"/>
        </w:rPr>
        <w:t>一、招聘范围和条件</w:t>
      </w:r>
    </w:p>
    <w:p>
      <w:pPr>
        <w:widowControl/>
        <w:spacing w:line="360" w:lineRule="atLeast"/>
        <w:ind w:firstLine="640"/>
        <w:jc w:val="left"/>
        <w:rPr>
          <w:rFonts w:ascii="宋体" w:hAnsi="宋体" w:eastAsia="宋体" w:cs="宋体"/>
          <w:color w:val="000000"/>
          <w:kern w:val="0"/>
          <w:sz w:val="27"/>
          <w:szCs w:val="27"/>
          <w:lang w:bidi="ar"/>
        </w:rPr>
      </w:pPr>
      <w:r>
        <w:rPr>
          <w:rFonts w:hint="eastAsia" w:ascii="宋体" w:hAnsi="宋体" w:eastAsia="宋体" w:cs="宋体"/>
          <w:color w:val="000000"/>
          <w:kern w:val="0"/>
          <w:sz w:val="27"/>
          <w:szCs w:val="27"/>
          <w:lang w:bidi="ar"/>
        </w:rPr>
        <w:t>（一）具有中华人民共和国国籍，遵守宪法和法律，热爱教育事业和教师工作，具有良好的品行和适应岗位的身体条件。</w:t>
      </w:r>
    </w:p>
    <w:p>
      <w:pPr>
        <w:widowControl/>
        <w:spacing w:line="360" w:lineRule="atLeast"/>
        <w:ind w:firstLine="640"/>
        <w:jc w:val="left"/>
        <w:rPr>
          <w:rFonts w:ascii="宋体" w:hAnsi="宋体" w:eastAsia="宋体" w:cs="宋体"/>
          <w:color w:val="000000"/>
          <w:kern w:val="0"/>
          <w:sz w:val="27"/>
          <w:szCs w:val="27"/>
          <w:lang w:bidi="ar"/>
        </w:rPr>
      </w:pPr>
      <w:r>
        <w:rPr>
          <w:rFonts w:hint="eastAsia" w:ascii="宋体" w:hAnsi="宋体" w:eastAsia="宋体" w:cs="宋体"/>
          <w:color w:val="000000"/>
          <w:kern w:val="0"/>
          <w:sz w:val="27"/>
          <w:szCs w:val="27"/>
          <w:lang w:bidi="ar"/>
        </w:rPr>
        <w:t>（二）普通全日制硕士研究生，学历、学位证书须在2020年7月31日前取得,应聘人员的毕业院校、所学专业、学历学位应与招聘岗位要求的毕业院校、所学专业、学历学位相一致。</w:t>
      </w:r>
    </w:p>
    <w:p>
      <w:pPr>
        <w:widowControl/>
        <w:spacing w:line="360" w:lineRule="atLeast"/>
        <w:ind w:firstLine="640"/>
        <w:jc w:val="left"/>
        <w:rPr>
          <w:rFonts w:ascii="宋体" w:hAnsi="宋体" w:eastAsia="宋体" w:cs="宋体"/>
          <w:color w:val="000000"/>
          <w:kern w:val="0"/>
          <w:sz w:val="27"/>
          <w:szCs w:val="27"/>
          <w:lang w:bidi="ar"/>
        </w:rPr>
      </w:pPr>
      <w:r>
        <w:rPr>
          <w:rFonts w:hint="eastAsia" w:ascii="宋体" w:hAnsi="宋体" w:eastAsia="宋体" w:cs="宋体"/>
          <w:color w:val="000000"/>
          <w:kern w:val="0"/>
          <w:sz w:val="27"/>
          <w:szCs w:val="27"/>
          <w:lang w:bidi="ar"/>
        </w:rPr>
        <w:t>（三）截至2020年7月31日，年龄不超过35周岁（1984年7月31日以后出生）。</w:t>
      </w:r>
    </w:p>
    <w:p>
      <w:pPr>
        <w:widowControl/>
        <w:spacing w:line="360" w:lineRule="atLeast"/>
        <w:ind w:firstLine="640"/>
        <w:jc w:val="left"/>
        <w:rPr>
          <w:rFonts w:ascii="宋体" w:hAnsi="宋体" w:eastAsia="宋体" w:cs="宋体"/>
          <w:color w:val="000000"/>
          <w:kern w:val="0"/>
          <w:sz w:val="27"/>
          <w:szCs w:val="27"/>
          <w:lang w:bidi="ar"/>
        </w:rPr>
      </w:pPr>
      <w:r>
        <w:rPr>
          <w:rFonts w:hint="eastAsia" w:ascii="宋体" w:hAnsi="宋体" w:eastAsia="宋体" w:cs="宋体"/>
          <w:color w:val="000000"/>
          <w:kern w:val="0"/>
          <w:sz w:val="27"/>
          <w:szCs w:val="27"/>
          <w:lang w:bidi="ar"/>
        </w:rPr>
        <w:t>（四）符合招聘岗位所需的其他资格条件。</w:t>
      </w:r>
    </w:p>
    <w:p>
      <w:pPr>
        <w:widowControl/>
        <w:spacing w:line="360" w:lineRule="atLeast"/>
        <w:ind w:firstLine="640"/>
        <w:jc w:val="left"/>
        <w:rPr>
          <w:rFonts w:ascii="宋体" w:hAnsi="宋体" w:eastAsia="宋体" w:cs="宋体"/>
          <w:color w:val="000000"/>
          <w:kern w:val="0"/>
          <w:sz w:val="27"/>
          <w:szCs w:val="27"/>
          <w:lang w:bidi="ar"/>
        </w:rPr>
      </w:pPr>
      <w:r>
        <w:rPr>
          <w:rFonts w:hint="eastAsia" w:ascii="宋体" w:hAnsi="宋体" w:eastAsia="宋体" w:cs="宋体"/>
          <w:color w:val="000000"/>
          <w:kern w:val="0"/>
          <w:sz w:val="27"/>
          <w:szCs w:val="27"/>
          <w:lang w:bidi="ar"/>
        </w:rPr>
        <w:t>曾受过刑事处罚和曾被开除公职的人员，被开除中国共产党党籍且未重新加入的，被依法列为失信联合惩戒对象的人员，在读全日制普通高校非应届毕业生，现役军人，以及法律法规政策规定不得聘用的其他情形的人员，不得应聘。服务年限未满（含试用期）的机关事业单位工作人员，不能应聘。凡与聘用单位负责人员有夫妻关系、直系血亲关系、三代以内旁系血亲或者近姻亲关系的应聘人员，不得应聘有直接上下级领导关系的岗位。</w:t>
      </w:r>
    </w:p>
    <w:p>
      <w:pPr>
        <w:widowControl/>
        <w:spacing w:line="360" w:lineRule="atLeast"/>
        <w:ind w:firstLine="640"/>
        <w:jc w:val="left"/>
        <w:rPr>
          <w:rFonts w:ascii="黑体" w:hAnsi="宋体" w:eastAsia="黑体" w:cs="黑体"/>
          <w:color w:val="000000"/>
          <w:kern w:val="0"/>
          <w:sz w:val="27"/>
          <w:szCs w:val="27"/>
          <w:lang w:bidi="ar"/>
        </w:rPr>
      </w:pPr>
      <w:r>
        <w:rPr>
          <w:rFonts w:hint="eastAsia" w:ascii="黑体" w:hAnsi="宋体" w:eastAsia="黑体" w:cs="黑体"/>
          <w:color w:val="000000"/>
          <w:kern w:val="0"/>
          <w:sz w:val="27"/>
          <w:szCs w:val="27"/>
          <w:lang w:bidi="ar"/>
        </w:rPr>
        <w:t>二、招聘人员性质与待遇</w:t>
      </w:r>
    </w:p>
    <w:p>
      <w:pPr>
        <w:widowControl/>
        <w:spacing w:line="360" w:lineRule="atLeast"/>
        <w:ind w:firstLine="640"/>
        <w:jc w:val="left"/>
        <w:rPr>
          <w:rFonts w:hint="eastAsia" w:ascii="宋体" w:hAnsi="宋体" w:eastAsia="宋体" w:cs="宋体"/>
          <w:color w:val="000000"/>
          <w:kern w:val="0"/>
          <w:sz w:val="27"/>
          <w:szCs w:val="27"/>
          <w:lang w:bidi="ar"/>
        </w:rPr>
      </w:pPr>
      <w:r>
        <w:rPr>
          <w:rFonts w:hint="eastAsia" w:ascii="宋体" w:hAnsi="宋体" w:eastAsia="宋体" w:cs="宋体"/>
          <w:color w:val="000000"/>
          <w:kern w:val="0"/>
          <w:sz w:val="27"/>
          <w:szCs w:val="27"/>
          <w:lang w:bidi="ar"/>
        </w:rPr>
        <w:t>招聘人员为学院合同制教师，不属于事业单位正式在编工作人员；薪酬</w:t>
      </w:r>
      <w:r>
        <w:rPr>
          <w:rFonts w:hint="eastAsia" w:ascii="宋体" w:hAnsi="宋体" w:eastAsia="宋体" w:cs="宋体"/>
          <w:color w:val="000000"/>
          <w:kern w:val="0"/>
          <w:sz w:val="27"/>
          <w:szCs w:val="27"/>
          <w:lang w:eastAsia="zh-CN" w:bidi="ar"/>
        </w:rPr>
        <w:t>执行</w:t>
      </w:r>
      <w:r>
        <w:rPr>
          <w:rFonts w:hint="eastAsia" w:ascii="宋体" w:hAnsi="宋体" w:eastAsia="宋体" w:cs="宋体"/>
          <w:color w:val="000000"/>
          <w:kern w:val="0"/>
          <w:sz w:val="27"/>
          <w:szCs w:val="27"/>
          <w:lang w:bidi="ar"/>
        </w:rPr>
        <w:t>《东营科技职业学院合同制教职工薪酬分配方案》</w:t>
      </w:r>
      <w:r>
        <w:rPr>
          <w:rFonts w:hint="eastAsia" w:ascii="宋体" w:hAnsi="宋体" w:eastAsia="宋体" w:cs="宋体"/>
          <w:color w:val="000000"/>
          <w:kern w:val="0"/>
          <w:sz w:val="27"/>
          <w:szCs w:val="27"/>
          <w:lang w:val="en-US" w:eastAsia="zh-CN" w:bidi="ar"/>
        </w:rPr>
        <w:t>,</w:t>
      </w:r>
      <w:r>
        <w:rPr>
          <w:rFonts w:hint="eastAsia" w:ascii="宋体" w:hAnsi="宋体" w:eastAsia="宋体" w:cs="宋体"/>
          <w:color w:val="000000"/>
          <w:kern w:val="0"/>
          <w:sz w:val="27"/>
          <w:szCs w:val="27"/>
          <w:lang w:bidi="ar"/>
        </w:rPr>
        <w:t>缴纳相应的五险一金。</w:t>
      </w:r>
    </w:p>
    <w:p>
      <w:pPr>
        <w:widowControl/>
        <w:spacing w:line="360" w:lineRule="atLeast"/>
        <w:ind w:firstLine="640"/>
        <w:jc w:val="left"/>
        <w:rPr>
          <w:rFonts w:hint="eastAsia" w:ascii="黑体" w:hAnsi="宋体" w:eastAsia="黑体" w:cs="黑体"/>
          <w:color w:val="000000"/>
          <w:kern w:val="0"/>
          <w:sz w:val="27"/>
          <w:szCs w:val="27"/>
          <w:lang w:eastAsia="zh-CN" w:bidi="ar"/>
        </w:rPr>
      </w:pPr>
      <w:r>
        <w:rPr>
          <w:rFonts w:hint="eastAsia" w:ascii="黑体" w:hAnsi="宋体" w:eastAsia="黑体" w:cs="黑体"/>
          <w:color w:val="000000"/>
          <w:kern w:val="0"/>
          <w:sz w:val="27"/>
          <w:szCs w:val="27"/>
          <w:lang w:bidi="ar"/>
        </w:rPr>
        <w:t>三、招聘</w:t>
      </w:r>
      <w:r>
        <w:rPr>
          <w:rFonts w:hint="eastAsia" w:ascii="黑体" w:hAnsi="宋体" w:eastAsia="黑体" w:cs="黑体"/>
          <w:color w:val="000000"/>
          <w:kern w:val="0"/>
          <w:sz w:val="27"/>
          <w:szCs w:val="27"/>
          <w:lang w:eastAsia="zh-CN" w:bidi="ar"/>
        </w:rPr>
        <w:t>人数及</w:t>
      </w:r>
      <w:r>
        <w:rPr>
          <w:rFonts w:hint="eastAsia" w:ascii="黑体" w:hAnsi="宋体" w:eastAsia="黑体" w:cs="黑体"/>
          <w:color w:val="000000"/>
          <w:kern w:val="0"/>
          <w:sz w:val="27"/>
          <w:szCs w:val="27"/>
          <w:lang w:bidi="ar"/>
        </w:rPr>
        <w:t>岗位</w:t>
      </w:r>
      <w:r>
        <w:rPr>
          <w:rFonts w:hint="eastAsia" w:ascii="黑体" w:hAnsi="宋体" w:eastAsia="黑体" w:cs="黑体"/>
          <w:color w:val="000000"/>
          <w:kern w:val="0"/>
          <w:sz w:val="27"/>
          <w:szCs w:val="27"/>
          <w:lang w:eastAsia="zh-CN" w:bidi="ar"/>
        </w:rPr>
        <w:t>条件</w:t>
      </w:r>
    </w:p>
    <w:p>
      <w:pPr>
        <w:widowControl/>
        <w:spacing w:line="360" w:lineRule="atLeast"/>
        <w:ind w:firstLine="640"/>
        <w:jc w:val="left"/>
        <w:rPr>
          <w:rFonts w:ascii="宋体" w:hAnsi="宋体" w:eastAsia="宋体" w:cs="宋体"/>
          <w:color w:val="000000"/>
          <w:kern w:val="0"/>
          <w:sz w:val="27"/>
          <w:szCs w:val="27"/>
          <w:lang w:bidi="ar"/>
        </w:rPr>
      </w:pPr>
      <w:r>
        <w:rPr>
          <w:rFonts w:hint="eastAsia" w:ascii="宋体" w:hAnsi="宋体" w:eastAsia="宋体" w:cs="宋体"/>
          <w:color w:val="000000"/>
          <w:kern w:val="0"/>
          <w:sz w:val="27"/>
          <w:szCs w:val="27"/>
          <w:lang w:bidi="ar"/>
        </w:rPr>
        <w:t>共招聘</w:t>
      </w:r>
      <w:r>
        <w:rPr>
          <w:rFonts w:hint="eastAsia" w:ascii="宋体" w:hAnsi="宋体" w:eastAsia="宋体" w:cs="宋体"/>
          <w:color w:val="000000"/>
          <w:kern w:val="0"/>
          <w:sz w:val="27"/>
          <w:szCs w:val="27"/>
          <w:lang w:val="en-US" w:eastAsia="zh-CN" w:bidi="ar"/>
        </w:rPr>
        <w:t>46</w:t>
      </w:r>
      <w:r>
        <w:rPr>
          <w:rFonts w:hint="eastAsia" w:ascii="宋体" w:hAnsi="宋体" w:eastAsia="宋体" w:cs="宋体"/>
          <w:color w:val="000000"/>
          <w:kern w:val="0"/>
          <w:sz w:val="27"/>
          <w:szCs w:val="27"/>
          <w:lang w:bidi="ar"/>
        </w:rPr>
        <w:t>人，招聘具体岗位条件与人数详见《2020年东营科技职业学院教师岗位招聘计划》（附件1）</w:t>
      </w:r>
    </w:p>
    <w:p>
      <w:pPr>
        <w:widowControl/>
        <w:spacing w:line="360" w:lineRule="atLeast"/>
        <w:ind w:firstLine="640"/>
        <w:jc w:val="left"/>
        <w:rPr>
          <w:rFonts w:ascii="黑体" w:hAnsi="宋体" w:eastAsia="黑体" w:cs="黑体"/>
          <w:color w:val="000000"/>
          <w:kern w:val="0"/>
          <w:sz w:val="27"/>
          <w:szCs w:val="27"/>
          <w:lang w:bidi="ar"/>
        </w:rPr>
      </w:pPr>
      <w:r>
        <w:rPr>
          <w:rFonts w:hint="eastAsia" w:ascii="黑体" w:hAnsi="宋体" w:eastAsia="黑体" w:cs="黑体"/>
          <w:color w:val="000000"/>
          <w:kern w:val="0"/>
          <w:sz w:val="27"/>
          <w:szCs w:val="27"/>
          <w:lang w:bidi="ar"/>
        </w:rPr>
        <w:t>四、报名与资格审查</w:t>
      </w:r>
    </w:p>
    <w:p>
      <w:pPr>
        <w:widowControl/>
        <w:spacing w:line="360" w:lineRule="atLeast"/>
        <w:ind w:firstLine="640"/>
        <w:jc w:val="left"/>
        <w:rPr>
          <w:rFonts w:ascii="宋体" w:hAnsi="宋体" w:eastAsia="宋体" w:cs="宋体"/>
          <w:color w:val="000000"/>
          <w:kern w:val="0"/>
          <w:sz w:val="27"/>
          <w:szCs w:val="27"/>
          <w:lang w:bidi="ar"/>
        </w:rPr>
      </w:pPr>
      <w:r>
        <w:rPr>
          <w:rFonts w:hint="eastAsia" w:ascii="宋体" w:hAnsi="宋体" w:eastAsia="宋体" w:cs="宋体"/>
          <w:color w:val="000000"/>
          <w:kern w:val="0"/>
          <w:sz w:val="27"/>
          <w:szCs w:val="27"/>
          <w:lang w:bidi="ar"/>
        </w:rPr>
        <w:t>（一）报名</w:t>
      </w:r>
    </w:p>
    <w:p>
      <w:pPr>
        <w:widowControl/>
        <w:spacing w:line="360" w:lineRule="atLeast"/>
        <w:ind w:firstLine="640"/>
        <w:jc w:val="left"/>
        <w:rPr>
          <w:rFonts w:hint="eastAsia" w:ascii="宋体" w:hAnsi="宋体" w:eastAsia="宋体" w:cs="宋体"/>
          <w:color w:val="000000"/>
          <w:kern w:val="0"/>
          <w:sz w:val="27"/>
          <w:szCs w:val="27"/>
          <w:lang w:bidi="ar"/>
        </w:rPr>
      </w:pPr>
      <w:r>
        <w:rPr>
          <w:rFonts w:hint="eastAsia" w:ascii="宋体" w:hAnsi="宋体" w:eastAsia="宋体" w:cs="宋体"/>
          <w:color w:val="000000"/>
          <w:kern w:val="0"/>
          <w:sz w:val="27"/>
          <w:szCs w:val="27"/>
          <w:lang w:bidi="ar"/>
        </w:rPr>
        <w:t>采取网上报名的方式进行。报名时间自本方案发布之日起至2020年4月30日17:00。</w:t>
      </w:r>
    </w:p>
    <w:p>
      <w:pPr>
        <w:widowControl/>
        <w:spacing w:line="360" w:lineRule="atLeast"/>
        <w:ind w:firstLine="640"/>
        <w:jc w:val="left"/>
        <w:rPr>
          <w:rFonts w:ascii="宋体" w:hAnsi="宋体" w:eastAsia="宋体" w:cs="宋体"/>
          <w:color w:val="000000"/>
          <w:kern w:val="0"/>
          <w:sz w:val="27"/>
          <w:szCs w:val="27"/>
          <w:lang w:bidi="ar"/>
        </w:rPr>
      </w:pPr>
      <w:r>
        <w:rPr>
          <w:rFonts w:hint="eastAsia" w:ascii="宋体" w:hAnsi="宋体" w:eastAsia="宋体" w:cs="宋体"/>
          <w:color w:val="000000"/>
          <w:kern w:val="0"/>
          <w:sz w:val="27"/>
          <w:szCs w:val="27"/>
          <w:lang w:bidi="ar"/>
        </w:rPr>
        <w:t>应聘人员须如实填写《东营科技职业学院招聘岗位登记表》(附件2)，连同本人的报名相关证明材料扫描件发送到邮箱dkzzrsc@163.com,邮件名称统一为“应聘岗位﹢姓名﹢毕业院校﹢所学专业（专业方向）”。每人限报一个岗位，凡不提供应聘材料或提供材料不齐全的不予审核，应聘人员于2020年5月10日11:30至2020年5月15日17:00前登录自己的报名邮箱查询报名资格初审结果。经网上报名初审合格的还须进行现场资格审查。</w:t>
      </w:r>
    </w:p>
    <w:p>
      <w:pPr>
        <w:widowControl/>
        <w:spacing w:line="360" w:lineRule="atLeast"/>
        <w:ind w:firstLine="640"/>
        <w:jc w:val="left"/>
        <w:rPr>
          <w:rFonts w:ascii="宋体" w:hAnsi="宋体" w:eastAsia="宋体" w:cs="宋体"/>
          <w:color w:val="000000"/>
          <w:kern w:val="0"/>
          <w:sz w:val="27"/>
          <w:szCs w:val="27"/>
          <w:lang w:bidi="ar"/>
        </w:rPr>
      </w:pPr>
      <w:r>
        <w:rPr>
          <w:rFonts w:hint="eastAsia" w:ascii="宋体" w:hAnsi="宋体" w:eastAsia="宋体" w:cs="宋体"/>
          <w:color w:val="000000"/>
          <w:kern w:val="0"/>
          <w:sz w:val="27"/>
          <w:szCs w:val="27"/>
          <w:lang w:bidi="ar"/>
        </w:rPr>
        <w:t>相关证明材料包括：国家承认的学历学位证书和中国高等教育学生信息网（www.chsi.com.cn）提供的有效期内的《教育部学历证书电子注册备案表》（尚未毕业的应届毕业生提交学校核发的就业推荐表和有效期内的《教育部学籍在线验证报告》），有效期内居民身份证。已签署就业协议或已就业且符合报名条件的人员须出具协议签署单位或有用人权限部门（单位）同意应聘的证明。</w:t>
      </w:r>
    </w:p>
    <w:p>
      <w:pPr>
        <w:widowControl/>
        <w:spacing w:line="360" w:lineRule="atLeast"/>
        <w:ind w:firstLine="640"/>
        <w:jc w:val="left"/>
        <w:rPr>
          <w:rFonts w:ascii="宋体" w:hAnsi="宋体" w:eastAsia="宋体" w:cs="宋体"/>
          <w:color w:val="000000"/>
          <w:kern w:val="0"/>
          <w:sz w:val="27"/>
          <w:szCs w:val="27"/>
          <w:lang w:bidi="ar"/>
        </w:rPr>
      </w:pPr>
      <w:r>
        <w:rPr>
          <w:rFonts w:hint="eastAsia" w:ascii="宋体" w:hAnsi="宋体" w:eastAsia="宋体" w:cs="宋体"/>
          <w:color w:val="000000"/>
          <w:kern w:val="0"/>
          <w:sz w:val="27"/>
          <w:szCs w:val="27"/>
          <w:lang w:bidi="ar"/>
        </w:rPr>
        <w:t>应聘人员必须使用本人有效身份证件进行报名，报名与考试时使用的本人有效身份证件必须一致。重要报名信息（如工作单位等信息）填报不实的，按弄虚作假处理；因信息填报不全、错误等导致未通过资格审查的，责任由应聘人员自负。</w:t>
      </w:r>
    </w:p>
    <w:p>
      <w:pPr>
        <w:widowControl/>
        <w:spacing w:line="360" w:lineRule="atLeast"/>
        <w:ind w:firstLine="640"/>
        <w:jc w:val="left"/>
        <w:rPr>
          <w:rFonts w:ascii="宋体" w:hAnsi="宋体" w:eastAsia="宋体" w:cs="宋体"/>
          <w:color w:val="000000"/>
          <w:kern w:val="0"/>
          <w:sz w:val="27"/>
          <w:szCs w:val="27"/>
          <w:lang w:bidi="ar"/>
        </w:rPr>
      </w:pPr>
      <w:r>
        <w:rPr>
          <w:rFonts w:hint="eastAsia" w:ascii="宋体" w:hAnsi="宋体" w:eastAsia="宋体" w:cs="宋体"/>
          <w:color w:val="000000"/>
          <w:kern w:val="0"/>
          <w:sz w:val="27"/>
          <w:szCs w:val="27"/>
          <w:lang w:bidi="ar"/>
        </w:rPr>
        <w:t>（二）资格审查</w:t>
      </w:r>
    </w:p>
    <w:p>
      <w:pPr>
        <w:widowControl/>
        <w:spacing w:line="360" w:lineRule="atLeast"/>
        <w:ind w:firstLine="640"/>
        <w:jc w:val="left"/>
        <w:rPr>
          <w:rFonts w:ascii="宋体" w:hAnsi="宋体" w:eastAsia="宋体" w:cs="宋体"/>
          <w:color w:val="000000"/>
          <w:kern w:val="0"/>
          <w:sz w:val="27"/>
          <w:szCs w:val="27"/>
          <w:lang w:bidi="ar"/>
        </w:rPr>
      </w:pPr>
      <w:r>
        <w:rPr>
          <w:rFonts w:hint="eastAsia" w:ascii="宋体" w:hAnsi="宋体" w:eastAsia="宋体" w:cs="宋体"/>
          <w:color w:val="000000"/>
          <w:kern w:val="0"/>
          <w:sz w:val="27"/>
          <w:szCs w:val="27"/>
          <w:lang w:bidi="ar"/>
        </w:rPr>
        <w:t>应聘人员须携带所有报名材料原件及复印件到广饶县大王镇泰山路7号东营科技职业学院人事处A311房间完成资格审查（因新型冠状病毒感染的肺炎防控工作需要，具体时间另行通知）。在规定时间内未按要求提交有关材料的，视为自愿放弃。经审查不具备应聘条件的，取消其考核招聘资格。</w:t>
      </w:r>
    </w:p>
    <w:p>
      <w:pPr>
        <w:widowControl/>
        <w:spacing w:line="360" w:lineRule="atLeast"/>
        <w:ind w:firstLine="640"/>
        <w:jc w:val="left"/>
        <w:rPr>
          <w:rFonts w:ascii="宋体" w:hAnsi="宋体" w:eastAsia="宋体" w:cs="宋体"/>
          <w:color w:val="000000"/>
          <w:kern w:val="0"/>
          <w:sz w:val="27"/>
          <w:szCs w:val="27"/>
          <w:lang w:bidi="ar"/>
        </w:rPr>
      </w:pPr>
      <w:r>
        <w:rPr>
          <w:rFonts w:hint="eastAsia" w:ascii="宋体" w:hAnsi="宋体" w:eastAsia="宋体" w:cs="宋体"/>
          <w:color w:val="000000"/>
          <w:kern w:val="0"/>
          <w:sz w:val="27"/>
          <w:szCs w:val="27"/>
          <w:lang w:bidi="ar"/>
        </w:rPr>
        <w:t>对应聘人员的资格审查工作，贯穿招聘工作的全过程，网上和现场资格审核结果不作为确定符合应聘条件的最终依据。凡在后续工作中发现已通过审查人员不符合应聘资格或隐瞒真实情况、弄虚作假等问题的，一经查实，立即取消答辩、聘用资格。</w:t>
      </w:r>
    </w:p>
    <w:p>
      <w:pPr>
        <w:widowControl/>
        <w:spacing w:line="360" w:lineRule="atLeast"/>
        <w:ind w:firstLine="640"/>
        <w:jc w:val="left"/>
        <w:rPr>
          <w:rFonts w:ascii="黑体" w:hAnsi="宋体" w:eastAsia="黑体" w:cs="黑体"/>
          <w:color w:val="000000"/>
          <w:kern w:val="0"/>
          <w:sz w:val="27"/>
          <w:szCs w:val="27"/>
          <w:lang w:bidi="ar"/>
        </w:rPr>
      </w:pPr>
      <w:r>
        <w:rPr>
          <w:rFonts w:hint="eastAsia" w:ascii="黑体" w:hAnsi="宋体" w:eastAsia="黑体" w:cs="黑体"/>
          <w:color w:val="000000"/>
          <w:kern w:val="0"/>
          <w:sz w:val="27"/>
          <w:szCs w:val="27"/>
          <w:lang w:bidi="ar"/>
        </w:rPr>
        <w:t>五、考核评价</w:t>
      </w:r>
    </w:p>
    <w:p>
      <w:pPr>
        <w:widowControl/>
        <w:spacing w:line="360" w:lineRule="atLeast"/>
        <w:ind w:firstLine="640"/>
        <w:jc w:val="left"/>
        <w:rPr>
          <w:rFonts w:ascii="宋体" w:hAnsi="宋体" w:eastAsia="宋体" w:cs="宋体"/>
          <w:color w:val="000000"/>
          <w:kern w:val="0"/>
          <w:sz w:val="27"/>
          <w:szCs w:val="27"/>
          <w:lang w:bidi="ar"/>
        </w:rPr>
      </w:pPr>
      <w:r>
        <w:rPr>
          <w:rFonts w:hint="eastAsia" w:ascii="宋体" w:hAnsi="宋体" w:eastAsia="宋体" w:cs="宋体"/>
          <w:color w:val="000000"/>
          <w:kern w:val="0"/>
          <w:sz w:val="27"/>
          <w:szCs w:val="27"/>
          <w:lang w:bidi="ar"/>
        </w:rPr>
        <w:t>考核评价采取网上远程答辩方式进行。考核评价成绩满分100分，各项成绩均计算到小数点后两位数，尾数四舍五入。根据答辩总成绩，由高分到低分按1:1的比例确定考察和体检人员。答辩成绩和进入考察体检范围人员名单于答辩结束后5个工作日内在东营科技职业学院网（http://www.dycollege.net/）公布。</w:t>
      </w:r>
    </w:p>
    <w:p>
      <w:pPr>
        <w:widowControl/>
        <w:spacing w:line="360" w:lineRule="atLeast"/>
        <w:ind w:firstLine="640"/>
        <w:jc w:val="left"/>
        <w:rPr>
          <w:rFonts w:ascii="黑体" w:hAnsi="宋体" w:eastAsia="黑体" w:cs="黑体"/>
          <w:color w:val="000000"/>
          <w:kern w:val="0"/>
          <w:sz w:val="27"/>
          <w:szCs w:val="27"/>
          <w:lang w:bidi="ar"/>
        </w:rPr>
      </w:pPr>
      <w:r>
        <w:rPr>
          <w:rFonts w:hint="eastAsia" w:ascii="黑体" w:hAnsi="宋体" w:eastAsia="黑体" w:cs="黑体"/>
          <w:color w:val="000000"/>
          <w:kern w:val="0"/>
          <w:sz w:val="27"/>
          <w:szCs w:val="27"/>
          <w:lang w:bidi="ar"/>
        </w:rPr>
        <w:t>六、考察体检</w:t>
      </w:r>
    </w:p>
    <w:p>
      <w:pPr>
        <w:widowControl/>
        <w:spacing w:line="360" w:lineRule="atLeast"/>
        <w:ind w:firstLine="640"/>
        <w:jc w:val="left"/>
        <w:rPr>
          <w:rFonts w:ascii="宋体" w:hAnsi="宋体" w:eastAsia="宋体" w:cs="宋体"/>
          <w:color w:val="000000"/>
          <w:kern w:val="0"/>
          <w:sz w:val="27"/>
          <w:szCs w:val="27"/>
          <w:lang w:bidi="ar"/>
        </w:rPr>
      </w:pPr>
      <w:r>
        <w:rPr>
          <w:rFonts w:hint="eastAsia" w:ascii="宋体" w:hAnsi="宋体" w:eastAsia="宋体" w:cs="宋体"/>
          <w:color w:val="000000"/>
          <w:kern w:val="0"/>
          <w:sz w:val="27"/>
          <w:szCs w:val="27"/>
          <w:lang w:bidi="ar"/>
        </w:rPr>
        <w:t>（一）考察。考察可采取多种方式进行，侧重思想政治表现、道德品质、业务能力、工作实绩以及档案审核等。对应聘人员是否符合岗位资格条件，提供的有关信息材料是否真实准确等进行全面复审。认真执行山东省委组织部《关于严格实行干部任前档案审核的规定》（鲁组发〔2014〕34号）和《关于进一步从严管理干部档案的意见》（鲁组发[2017]2号），调取人事档案，严格进行审核。</w:t>
      </w:r>
    </w:p>
    <w:p>
      <w:pPr>
        <w:widowControl/>
        <w:spacing w:line="360" w:lineRule="atLeast"/>
        <w:ind w:firstLine="640"/>
        <w:jc w:val="left"/>
        <w:rPr>
          <w:rFonts w:ascii="宋体" w:hAnsi="宋体" w:eastAsia="宋体" w:cs="宋体"/>
          <w:color w:val="000000"/>
          <w:kern w:val="0"/>
          <w:sz w:val="27"/>
          <w:szCs w:val="27"/>
          <w:lang w:bidi="ar"/>
        </w:rPr>
      </w:pPr>
      <w:r>
        <w:rPr>
          <w:rFonts w:hint="eastAsia" w:ascii="宋体" w:hAnsi="宋体" w:eastAsia="宋体" w:cs="宋体"/>
          <w:color w:val="000000"/>
          <w:kern w:val="0"/>
          <w:sz w:val="27"/>
          <w:szCs w:val="27"/>
          <w:lang w:bidi="ar"/>
        </w:rPr>
        <w:t>（二）体检。体检一般在县级以上综合性医院进行，体检标准和相关要求参照公务员录用体检通用标准执行，国家、省另有规定的从其规定。对按规定需要复检的，不在原体检医院进行，复检只能进行1次，结果以复检结论为准。应聘人员在体检过程中有意隐瞒影响聘用的疾病或者病史的，取消其聘用资格；在体检过程中有串通体检工作人员作弊或者请他人顶替体检以及交换、替换化验样本等作弊行为的，体检结果无效，取消聘用资格。体检费用由应聘人员个人承担。</w:t>
      </w:r>
    </w:p>
    <w:p>
      <w:pPr>
        <w:widowControl/>
        <w:spacing w:line="360" w:lineRule="atLeast"/>
        <w:ind w:firstLine="640"/>
        <w:jc w:val="left"/>
        <w:rPr>
          <w:rFonts w:ascii="宋体" w:hAnsi="宋体" w:eastAsia="宋体" w:cs="宋体"/>
          <w:color w:val="000000"/>
          <w:kern w:val="0"/>
          <w:sz w:val="27"/>
          <w:szCs w:val="27"/>
          <w:lang w:bidi="ar"/>
        </w:rPr>
      </w:pPr>
      <w:r>
        <w:rPr>
          <w:rFonts w:hint="eastAsia" w:ascii="宋体" w:hAnsi="宋体" w:eastAsia="宋体" w:cs="宋体"/>
          <w:color w:val="000000"/>
          <w:kern w:val="0"/>
          <w:sz w:val="27"/>
          <w:szCs w:val="27"/>
          <w:lang w:bidi="ar"/>
        </w:rPr>
        <w:t>对考察体检不合格或放弃考察体检资格的人员，取消聘用资格，因此造成的空缺，根据空缺人数按成绩由高分到低分依次递补。</w:t>
      </w:r>
    </w:p>
    <w:p>
      <w:pPr>
        <w:widowControl/>
        <w:spacing w:line="360" w:lineRule="atLeast"/>
        <w:ind w:firstLine="640"/>
        <w:jc w:val="left"/>
        <w:rPr>
          <w:rFonts w:ascii="黑体" w:hAnsi="宋体" w:eastAsia="黑体" w:cs="黑体"/>
          <w:color w:val="000000"/>
          <w:kern w:val="0"/>
          <w:sz w:val="27"/>
          <w:szCs w:val="27"/>
          <w:lang w:bidi="ar"/>
        </w:rPr>
      </w:pPr>
      <w:r>
        <w:rPr>
          <w:rFonts w:hint="eastAsia" w:ascii="黑体" w:hAnsi="宋体" w:eastAsia="黑体" w:cs="黑体"/>
          <w:color w:val="000000"/>
          <w:kern w:val="0"/>
          <w:sz w:val="27"/>
          <w:szCs w:val="27"/>
          <w:lang w:bidi="ar"/>
        </w:rPr>
        <w:t>七、公示聘用</w:t>
      </w:r>
    </w:p>
    <w:p>
      <w:pPr>
        <w:widowControl/>
        <w:spacing w:line="360" w:lineRule="atLeast"/>
        <w:ind w:firstLine="640"/>
        <w:jc w:val="left"/>
        <w:rPr>
          <w:rFonts w:ascii="宋体" w:hAnsi="宋体" w:eastAsia="宋体" w:cs="宋体"/>
          <w:color w:val="000000"/>
          <w:kern w:val="0"/>
          <w:sz w:val="27"/>
          <w:szCs w:val="27"/>
          <w:lang w:bidi="ar"/>
        </w:rPr>
      </w:pPr>
      <w:r>
        <w:rPr>
          <w:rFonts w:hint="eastAsia" w:ascii="宋体" w:hAnsi="宋体" w:eastAsia="宋体" w:cs="宋体"/>
          <w:color w:val="000000"/>
          <w:kern w:val="0"/>
          <w:sz w:val="27"/>
          <w:szCs w:val="27"/>
          <w:lang w:bidi="ar"/>
        </w:rPr>
        <w:t>对考察、体检合格的拟聘用人员，由东营科技职业学院网予以公示。拟聘用人员名单公示后不再递补。公示期满，对反映问题影响聘用并查实的，不予聘用；对没有问题或者反映问题不影响聘用的，办理聘用相关手续。聘用人员按规定实行试用期制度（试用期1年），期满考核合格的正式聘用，不合格的解除聘用。聘用后须在2年内（含试用期）取得岗位所需专业的高校教师资格证书，未按时取得的解除聘用合同。聘用人员最低服务年限3年（含试用期），在聘用合同中单独签订最低服务年限协议，双方应严格履行合同约定。未满最低服务年限的，不得报考其他机关的公务员和到企事业单位应聘。</w:t>
      </w:r>
    </w:p>
    <w:p>
      <w:pPr>
        <w:widowControl/>
        <w:spacing w:line="360" w:lineRule="atLeast"/>
        <w:ind w:firstLine="640"/>
        <w:jc w:val="left"/>
        <w:rPr>
          <w:rFonts w:ascii="宋体" w:hAnsi="宋体" w:eastAsia="宋体" w:cs="宋体"/>
          <w:color w:val="000000"/>
          <w:kern w:val="0"/>
          <w:sz w:val="27"/>
          <w:szCs w:val="27"/>
          <w:lang w:bidi="ar"/>
        </w:rPr>
      </w:pPr>
      <w:r>
        <w:rPr>
          <w:rFonts w:hint="eastAsia" w:ascii="宋体" w:hAnsi="宋体" w:eastAsia="宋体" w:cs="宋体"/>
          <w:color w:val="000000"/>
          <w:kern w:val="0"/>
          <w:sz w:val="27"/>
          <w:szCs w:val="27"/>
          <w:lang w:bidi="ar"/>
        </w:rPr>
        <w:t>本简章由东营科技职业学院人事处负责解释。</w:t>
      </w:r>
    </w:p>
    <w:p>
      <w:pPr>
        <w:widowControl/>
        <w:spacing w:line="360" w:lineRule="atLeast"/>
        <w:ind w:firstLine="640"/>
        <w:jc w:val="left"/>
        <w:rPr>
          <w:rFonts w:ascii="宋体" w:hAnsi="宋体" w:eastAsia="宋体" w:cs="宋体"/>
          <w:color w:val="000000"/>
          <w:kern w:val="0"/>
          <w:sz w:val="27"/>
          <w:szCs w:val="27"/>
          <w:lang w:bidi="ar"/>
        </w:rPr>
      </w:pPr>
      <w:r>
        <w:rPr>
          <w:rFonts w:hint="eastAsia" w:ascii="宋体" w:hAnsi="宋体" w:eastAsia="宋体" w:cs="宋体"/>
          <w:color w:val="000000"/>
          <w:kern w:val="0"/>
          <w:sz w:val="27"/>
          <w:szCs w:val="27"/>
          <w:lang w:bidi="ar"/>
        </w:rPr>
        <w:t xml:space="preserve">咨询电话：0546—6876155   </w:t>
      </w:r>
    </w:p>
    <w:p>
      <w:pPr>
        <w:widowControl/>
        <w:spacing w:line="360" w:lineRule="atLeast"/>
        <w:ind w:firstLine="640"/>
        <w:jc w:val="left"/>
        <w:rPr>
          <w:rFonts w:ascii="宋体" w:hAnsi="宋体" w:eastAsia="宋体" w:cs="宋体"/>
          <w:color w:val="000000"/>
          <w:kern w:val="0"/>
          <w:sz w:val="27"/>
          <w:szCs w:val="27"/>
          <w:lang w:bidi="ar"/>
        </w:rPr>
      </w:pPr>
      <w:r>
        <w:rPr>
          <w:rFonts w:hint="eastAsia" w:ascii="宋体" w:hAnsi="宋体" w:eastAsia="宋体" w:cs="宋体"/>
          <w:color w:val="000000"/>
          <w:kern w:val="0"/>
          <w:sz w:val="27"/>
          <w:szCs w:val="27"/>
          <w:lang w:bidi="ar"/>
        </w:rPr>
        <w:t>单位地址：山东省东营市广饶县大王镇泰山路7号</w:t>
      </w:r>
    </w:p>
    <w:p>
      <w:pPr>
        <w:widowControl/>
        <w:spacing w:line="360" w:lineRule="atLeast"/>
        <w:jc w:val="left"/>
        <w:rPr>
          <w:rFonts w:ascii="宋体" w:hAnsi="宋体" w:eastAsia="宋体" w:cs="宋体"/>
          <w:color w:val="000000"/>
          <w:kern w:val="0"/>
          <w:sz w:val="27"/>
          <w:szCs w:val="27"/>
          <w:lang w:bidi="ar"/>
        </w:rPr>
      </w:pPr>
    </w:p>
    <w:p>
      <w:pPr>
        <w:widowControl/>
        <w:spacing w:line="360" w:lineRule="atLeast"/>
        <w:ind w:firstLine="540" w:firstLineChars="200"/>
        <w:jc w:val="left"/>
        <w:rPr>
          <w:rFonts w:ascii="宋体" w:hAnsi="宋体" w:eastAsia="宋体" w:cs="宋体"/>
          <w:color w:val="000000"/>
          <w:kern w:val="0"/>
          <w:sz w:val="27"/>
          <w:szCs w:val="27"/>
          <w:lang w:bidi="ar"/>
        </w:rPr>
      </w:pPr>
      <w:r>
        <w:rPr>
          <w:rFonts w:hint="eastAsia" w:ascii="宋体" w:hAnsi="宋体" w:eastAsia="宋体" w:cs="宋体"/>
          <w:color w:val="000000"/>
          <w:kern w:val="0"/>
          <w:sz w:val="27"/>
          <w:szCs w:val="27"/>
          <w:lang w:bidi="ar"/>
        </w:rPr>
        <w:t>附件  1、2020年东营科技职业学院教师岗位招聘计划</w:t>
      </w:r>
    </w:p>
    <w:p>
      <w:pPr>
        <w:widowControl/>
        <w:spacing w:line="360" w:lineRule="atLeast"/>
        <w:ind w:firstLine="1350" w:firstLineChars="500"/>
        <w:jc w:val="left"/>
        <w:rPr>
          <w:rFonts w:ascii="宋体" w:hAnsi="宋体" w:eastAsia="宋体" w:cs="宋体"/>
          <w:color w:val="000000"/>
          <w:kern w:val="0"/>
          <w:sz w:val="27"/>
          <w:szCs w:val="27"/>
          <w:lang w:bidi="ar"/>
        </w:rPr>
      </w:pPr>
      <w:r>
        <w:rPr>
          <w:rFonts w:hint="eastAsia" w:ascii="宋体" w:hAnsi="宋体" w:eastAsia="宋体" w:cs="宋体"/>
          <w:color w:val="000000"/>
          <w:kern w:val="0"/>
          <w:sz w:val="27"/>
          <w:szCs w:val="27"/>
          <w:lang w:bidi="ar"/>
        </w:rPr>
        <w:t>2、东营科技职业学院教师招聘岗位登记表</w:t>
      </w:r>
    </w:p>
    <w:p>
      <w:pPr>
        <w:widowControl/>
        <w:spacing w:line="360" w:lineRule="atLeast"/>
        <w:ind w:firstLine="640"/>
        <w:jc w:val="left"/>
        <w:rPr>
          <w:rFonts w:ascii="宋体" w:hAnsi="宋体" w:eastAsia="宋体" w:cs="宋体"/>
          <w:color w:val="000000"/>
          <w:kern w:val="0"/>
          <w:sz w:val="27"/>
          <w:szCs w:val="27"/>
          <w:lang w:bidi="ar"/>
        </w:rPr>
      </w:pPr>
    </w:p>
    <w:p>
      <w:pPr>
        <w:widowControl/>
        <w:spacing w:line="360" w:lineRule="atLeast"/>
        <w:ind w:firstLine="640"/>
        <w:jc w:val="left"/>
        <w:rPr>
          <w:rFonts w:ascii="宋体" w:hAnsi="宋体" w:eastAsia="宋体" w:cs="宋体"/>
          <w:color w:val="000000"/>
          <w:kern w:val="0"/>
          <w:sz w:val="27"/>
          <w:szCs w:val="27"/>
          <w:lang w:bidi="ar"/>
        </w:rPr>
      </w:pPr>
    </w:p>
    <w:p>
      <w:pPr>
        <w:widowControl/>
        <w:spacing w:line="360" w:lineRule="atLeast"/>
        <w:ind w:firstLine="640"/>
        <w:jc w:val="left"/>
        <w:rPr>
          <w:rFonts w:ascii="宋体" w:hAnsi="宋体" w:eastAsia="宋体" w:cs="宋体"/>
          <w:color w:val="000000"/>
          <w:kern w:val="0"/>
          <w:sz w:val="27"/>
          <w:szCs w:val="27"/>
          <w:lang w:bidi="ar"/>
        </w:rPr>
      </w:pPr>
    </w:p>
    <w:p>
      <w:pPr>
        <w:widowControl/>
        <w:spacing w:line="360" w:lineRule="atLeast"/>
        <w:ind w:firstLine="640"/>
        <w:jc w:val="left"/>
        <w:rPr>
          <w:rFonts w:ascii="宋体" w:hAnsi="宋体" w:eastAsia="宋体" w:cs="宋体"/>
          <w:color w:val="000000"/>
          <w:kern w:val="0"/>
          <w:sz w:val="27"/>
          <w:szCs w:val="27"/>
          <w:lang w:bidi="ar"/>
        </w:rPr>
      </w:pPr>
    </w:p>
    <w:p>
      <w:pPr>
        <w:widowControl/>
        <w:spacing w:line="360" w:lineRule="atLeast"/>
        <w:ind w:firstLine="640"/>
        <w:jc w:val="left"/>
        <w:rPr>
          <w:rFonts w:ascii="宋体" w:hAnsi="宋体" w:eastAsia="宋体" w:cs="宋体"/>
          <w:color w:val="000000"/>
          <w:kern w:val="0"/>
          <w:sz w:val="27"/>
          <w:szCs w:val="27"/>
          <w:lang w:bidi="ar"/>
        </w:rPr>
      </w:pPr>
    </w:p>
    <w:p>
      <w:pPr>
        <w:spacing w:line="480" w:lineRule="exact"/>
        <w:rPr>
          <w:rFonts w:asciiTheme="minorEastAsia" w:hAnsiTheme="minorEastAsia"/>
          <w:sz w:val="28"/>
          <w:szCs w:val="28"/>
        </w:rPr>
      </w:pPr>
    </w:p>
    <w:p>
      <w:pPr>
        <w:spacing w:line="480" w:lineRule="exact"/>
        <w:ind w:firstLine="4480" w:firstLineChars="1600"/>
        <w:rPr>
          <w:rFonts w:asciiTheme="minorEastAsia" w:hAnsiTheme="minorEastAsia"/>
          <w:sz w:val="28"/>
          <w:szCs w:val="28"/>
        </w:rPr>
      </w:pPr>
      <w:r>
        <w:rPr>
          <w:rFonts w:hint="eastAsia" w:asciiTheme="minorEastAsia" w:hAnsiTheme="minorEastAsia"/>
          <w:sz w:val="28"/>
          <w:szCs w:val="28"/>
        </w:rPr>
        <w:t>东营科技职业学院</w:t>
      </w:r>
    </w:p>
    <w:p>
      <w:pPr>
        <w:spacing w:line="480" w:lineRule="exact"/>
        <w:ind w:firstLine="4480" w:firstLineChars="1600"/>
        <w:rPr>
          <w:rFonts w:asciiTheme="minorEastAsia" w:hAnsiTheme="minorEastAsia"/>
          <w:sz w:val="28"/>
          <w:szCs w:val="28"/>
        </w:rPr>
        <w:sectPr>
          <w:pgSz w:w="11906" w:h="16838"/>
          <w:pgMar w:top="1440" w:right="1797" w:bottom="1440" w:left="1797" w:header="851" w:footer="992" w:gutter="0"/>
          <w:cols w:space="425" w:num="1"/>
          <w:docGrid w:type="lines" w:linePitch="312" w:charSpace="0"/>
        </w:sectPr>
      </w:pPr>
      <w:r>
        <w:rPr>
          <w:rFonts w:hint="eastAsia" w:asciiTheme="minorEastAsia" w:hAnsiTheme="minorEastAsia"/>
          <w:sz w:val="28"/>
          <w:szCs w:val="28"/>
        </w:rPr>
        <w:t>2020年3月10日</w:t>
      </w:r>
    </w:p>
    <w:p>
      <w:pPr>
        <w:rPr>
          <w:rStyle w:val="9"/>
          <w:rFonts w:hint="eastAsia" w:ascii="宋体" w:hAnsi="宋体" w:eastAsia="宋体" w:cs="宋体"/>
          <w:color w:val="000000"/>
          <w:kern w:val="0"/>
          <w:sz w:val="36"/>
          <w:szCs w:val="36"/>
          <w:lang w:bidi="ar"/>
        </w:rPr>
      </w:pPr>
      <w:r>
        <w:rPr>
          <w:rFonts w:hint="eastAsia" w:ascii="黑体" w:hAnsi="黑体" w:eastAsia="黑体" w:cs="黑体"/>
          <w:sz w:val="28"/>
          <w:szCs w:val="28"/>
        </w:rPr>
        <w:t>附件</w:t>
      </w:r>
      <w:r>
        <w:rPr>
          <w:rFonts w:hint="eastAsia" w:ascii="黑体" w:hAnsi="黑体" w:eastAsia="黑体" w:cs="黑体"/>
          <w:sz w:val="28"/>
          <w:szCs w:val="28"/>
          <w:lang w:val="en-US" w:eastAsia="zh-CN"/>
        </w:rPr>
        <w:t xml:space="preserve">1、            </w:t>
      </w:r>
      <w:r>
        <w:rPr>
          <w:rStyle w:val="9"/>
          <w:rFonts w:hint="eastAsia" w:ascii="宋体" w:hAnsi="宋体" w:eastAsia="宋体" w:cs="宋体"/>
          <w:color w:val="000000"/>
          <w:kern w:val="0"/>
          <w:sz w:val="36"/>
          <w:szCs w:val="36"/>
          <w:lang w:val="en-US" w:eastAsia="zh-CN" w:bidi="ar"/>
        </w:rPr>
        <w:t xml:space="preserve">    </w:t>
      </w:r>
      <w:r>
        <w:rPr>
          <w:rStyle w:val="9"/>
          <w:rFonts w:hint="eastAsia" w:ascii="宋体" w:hAnsi="宋体" w:eastAsia="宋体" w:cs="宋体"/>
          <w:color w:val="000000"/>
          <w:kern w:val="0"/>
          <w:sz w:val="36"/>
          <w:szCs w:val="36"/>
          <w:lang w:bidi="ar"/>
        </w:rPr>
        <w:t>20</w:t>
      </w:r>
      <w:r>
        <w:rPr>
          <w:rStyle w:val="9"/>
          <w:rFonts w:hint="eastAsia" w:ascii="宋体" w:hAnsi="宋体" w:eastAsia="宋体" w:cs="宋体"/>
          <w:color w:val="000000"/>
          <w:kern w:val="0"/>
          <w:sz w:val="36"/>
          <w:szCs w:val="36"/>
          <w:lang w:val="en-US" w:eastAsia="zh-CN" w:bidi="ar"/>
        </w:rPr>
        <w:t>20</w:t>
      </w:r>
      <w:r>
        <w:rPr>
          <w:rStyle w:val="9"/>
          <w:rFonts w:hint="eastAsia" w:ascii="宋体" w:hAnsi="宋体" w:eastAsia="宋体" w:cs="宋体"/>
          <w:color w:val="000000"/>
          <w:kern w:val="0"/>
          <w:sz w:val="36"/>
          <w:szCs w:val="36"/>
          <w:lang w:bidi="ar"/>
        </w:rPr>
        <w:t>年东营科技职业学院</w:t>
      </w:r>
      <w:r>
        <w:rPr>
          <w:rStyle w:val="9"/>
          <w:rFonts w:hint="eastAsia" w:ascii="宋体" w:hAnsi="宋体" w:eastAsia="宋体" w:cs="宋体"/>
          <w:color w:val="000000"/>
          <w:kern w:val="0"/>
          <w:sz w:val="36"/>
          <w:szCs w:val="36"/>
          <w:lang w:eastAsia="zh-CN" w:bidi="ar"/>
        </w:rPr>
        <w:t>教师岗位</w:t>
      </w:r>
      <w:r>
        <w:rPr>
          <w:rStyle w:val="9"/>
          <w:rFonts w:hint="eastAsia" w:ascii="宋体" w:hAnsi="宋体" w:eastAsia="宋体" w:cs="宋体"/>
          <w:color w:val="000000"/>
          <w:kern w:val="0"/>
          <w:sz w:val="36"/>
          <w:szCs w:val="36"/>
          <w:lang w:bidi="ar"/>
        </w:rPr>
        <w:t>招聘计划</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8"/>
        <w:gridCol w:w="1368"/>
        <w:gridCol w:w="1505"/>
        <w:gridCol w:w="3910"/>
        <w:gridCol w:w="709"/>
        <w:gridCol w:w="1399"/>
        <w:gridCol w:w="1744"/>
        <w:gridCol w:w="2325"/>
        <w:gridCol w:w="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8" w:hRule="atLeast"/>
          <w:tblHeader/>
        </w:trPr>
        <w:tc>
          <w:tcPr>
            <w:tcW w:w="508" w:type="dxa"/>
            <w:vAlign w:val="center"/>
          </w:tcPr>
          <w:p>
            <w:pPr>
              <w:jc w:val="center"/>
              <w:rPr>
                <w:rFonts w:ascii="黑体" w:hAnsi="黑体" w:eastAsia="黑体" w:cs="黑体"/>
                <w:color w:val="000000"/>
                <w:sz w:val="24"/>
              </w:rPr>
            </w:pPr>
            <w:r>
              <w:rPr>
                <w:rFonts w:hint="eastAsia" w:ascii="黑体" w:hAnsi="黑体" w:eastAsia="黑体" w:cs="黑体"/>
                <w:color w:val="000000"/>
                <w:sz w:val="24"/>
              </w:rPr>
              <w:t>序号</w:t>
            </w:r>
          </w:p>
        </w:tc>
        <w:tc>
          <w:tcPr>
            <w:tcW w:w="1368" w:type="dxa"/>
            <w:vAlign w:val="center"/>
          </w:tcPr>
          <w:p>
            <w:pPr>
              <w:jc w:val="center"/>
              <w:rPr>
                <w:rFonts w:ascii="黑体" w:hAnsi="黑体" w:eastAsia="黑体" w:cs="黑体"/>
                <w:color w:val="000000"/>
                <w:sz w:val="24"/>
              </w:rPr>
            </w:pPr>
            <w:r>
              <w:rPr>
                <w:rFonts w:hint="eastAsia" w:ascii="黑体" w:hAnsi="黑体" w:eastAsia="黑体" w:cs="黑体"/>
                <w:color w:val="000000"/>
                <w:sz w:val="24"/>
              </w:rPr>
              <w:t>招聘</w:t>
            </w:r>
          </w:p>
          <w:p>
            <w:pPr>
              <w:jc w:val="center"/>
              <w:rPr>
                <w:rFonts w:ascii="黑体" w:hAnsi="黑体" w:eastAsia="黑体" w:cs="黑体"/>
                <w:color w:val="000000"/>
                <w:sz w:val="24"/>
              </w:rPr>
            </w:pPr>
            <w:r>
              <w:rPr>
                <w:rFonts w:hint="eastAsia" w:ascii="黑体" w:hAnsi="黑体" w:eastAsia="黑体" w:cs="黑体"/>
                <w:color w:val="000000"/>
                <w:sz w:val="24"/>
              </w:rPr>
              <w:t>部门</w:t>
            </w:r>
          </w:p>
        </w:tc>
        <w:tc>
          <w:tcPr>
            <w:tcW w:w="1505" w:type="dxa"/>
            <w:vAlign w:val="center"/>
          </w:tcPr>
          <w:p>
            <w:pPr>
              <w:jc w:val="center"/>
              <w:rPr>
                <w:rFonts w:ascii="黑体" w:hAnsi="黑体" w:eastAsia="黑体" w:cs="黑体"/>
                <w:color w:val="000000"/>
                <w:sz w:val="24"/>
              </w:rPr>
            </w:pPr>
            <w:r>
              <w:rPr>
                <w:rFonts w:hint="eastAsia" w:ascii="黑体" w:hAnsi="黑体" w:eastAsia="黑体" w:cs="黑体"/>
                <w:color w:val="000000"/>
                <w:sz w:val="24"/>
              </w:rPr>
              <w:t>岗位名称</w:t>
            </w:r>
          </w:p>
        </w:tc>
        <w:tc>
          <w:tcPr>
            <w:tcW w:w="3910" w:type="dxa"/>
            <w:vAlign w:val="center"/>
          </w:tcPr>
          <w:p>
            <w:pPr>
              <w:jc w:val="center"/>
              <w:rPr>
                <w:rFonts w:ascii="黑体" w:hAnsi="黑体" w:eastAsia="黑体" w:cs="黑体"/>
                <w:color w:val="000000"/>
                <w:sz w:val="24"/>
              </w:rPr>
            </w:pPr>
            <w:r>
              <w:rPr>
                <w:rFonts w:hint="eastAsia" w:ascii="黑体" w:hAnsi="黑体" w:eastAsia="黑体" w:cs="黑体"/>
                <w:color w:val="000000"/>
                <w:sz w:val="24"/>
              </w:rPr>
              <w:t>专业要求</w:t>
            </w:r>
          </w:p>
        </w:tc>
        <w:tc>
          <w:tcPr>
            <w:tcW w:w="709" w:type="dxa"/>
            <w:vAlign w:val="center"/>
          </w:tcPr>
          <w:p>
            <w:pPr>
              <w:jc w:val="center"/>
              <w:rPr>
                <w:rFonts w:ascii="黑体" w:hAnsi="黑体" w:eastAsia="黑体" w:cs="黑体"/>
                <w:color w:val="000000"/>
                <w:sz w:val="24"/>
              </w:rPr>
            </w:pPr>
            <w:r>
              <w:rPr>
                <w:rFonts w:hint="eastAsia" w:ascii="黑体" w:hAnsi="黑体" w:eastAsia="黑体" w:cs="黑体"/>
                <w:color w:val="000000"/>
                <w:sz w:val="24"/>
              </w:rPr>
              <w:t>招聘人数</w:t>
            </w:r>
          </w:p>
        </w:tc>
        <w:tc>
          <w:tcPr>
            <w:tcW w:w="1399" w:type="dxa"/>
            <w:vAlign w:val="center"/>
          </w:tcPr>
          <w:p>
            <w:pPr>
              <w:jc w:val="center"/>
              <w:rPr>
                <w:rFonts w:ascii="黑体" w:hAnsi="黑体" w:eastAsia="黑体" w:cs="黑体"/>
                <w:color w:val="000000"/>
                <w:sz w:val="24"/>
              </w:rPr>
            </w:pPr>
            <w:r>
              <w:rPr>
                <w:rFonts w:hint="eastAsia" w:ascii="黑体" w:hAnsi="黑体" w:eastAsia="黑体" w:cs="黑体"/>
                <w:color w:val="000000"/>
                <w:sz w:val="24"/>
              </w:rPr>
              <w:t>学历</w:t>
            </w:r>
          </w:p>
        </w:tc>
        <w:tc>
          <w:tcPr>
            <w:tcW w:w="1744" w:type="dxa"/>
            <w:vAlign w:val="center"/>
          </w:tcPr>
          <w:p>
            <w:pPr>
              <w:jc w:val="center"/>
              <w:rPr>
                <w:rFonts w:ascii="黑体" w:hAnsi="黑体" w:eastAsia="黑体" w:cs="黑体"/>
                <w:color w:val="000000"/>
                <w:sz w:val="24"/>
              </w:rPr>
            </w:pPr>
            <w:r>
              <w:rPr>
                <w:rFonts w:hint="eastAsia" w:ascii="黑体" w:hAnsi="黑体" w:eastAsia="黑体" w:cs="黑体"/>
                <w:color w:val="000000"/>
                <w:sz w:val="24"/>
              </w:rPr>
              <w:t>学位</w:t>
            </w:r>
          </w:p>
        </w:tc>
        <w:tc>
          <w:tcPr>
            <w:tcW w:w="2325" w:type="dxa"/>
            <w:vAlign w:val="center"/>
          </w:tcPr>
          <w:p>
            <w:pPr>
              <w:jc w:val="center"/>
              <w:rPr>
                <w:rFonts w:ascii="黑体" w:hAnsi="黑体" w:eastAsia="黑体" w:cs="黑体"/>
                <w:color w:val="000000"/>
                <w:sz w:val="24"/>
              </w:rPr>
            </w:pPr>
            <w:r>
              <w:rPr>
                <w:rFonts w:hint="eastAsia" w:ascii="黑体" w:hAnsi="黑体" w:eastAsia="黑体" w:cs="黑体"/>
                <w:color w:val="000000"/>
                <w:sz w:val="24"/>
              </w:rPr>
              <w:t>其他条件要求</w:t>
            </w:r>
          </w:p>
        </w:tc>
        <w:tc>
          <w:tcPr>
            <w:tcW w:w="706" w:type="dxa"/>
            <w:vAlign w:val="center"/>
          </w:tcPr>
          <w:p>
            <w:pPr>
              <w:jc w:val="center"/>
              <w:rPr>
                <w:rFonts w:ascii="黑体" w:hAnsi="黑体" w:eastAsia="黑体" w:cs="黑体"/>
                <w:color w:val="000000"/>
                <w:sz w:val="24"/>
              </w:rPr>
            </w:pPr>
            <w:r>
              <w:rPr>
                <w:rFonts w:hint="eastAsia" w:ascii="黑体" w:hAnsi="黑体" w:eastAsia="黑体" w:cs="黑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exact"/>
        </w:trPr>
        <w:tc>
          <w:tcPr>
            <w:tcW w:w="508" w:type="dxa"/>
            <w:vMerge w:val="restart"/>
            <w:vAlign w:val="center"/>
          </w:tcPr>
          <w:p>
            <w:pPr>
              <w:jc w:val="center"/>
              <w:rPr>
                <w:rFonts w:ascii="仿宋_GB2312" w:hAnsi="仿宋_GB2312" w:eastAsia="仿宋_GB2312" w:cs="仿宋_GB2312"/>
                <w:color w:val="000000"/>
                <w:sz w:val="21"/>
                <w:szCs w:val="21"/>
              </w:rPr>
            </w:pPr>
            <w:r>
              <w:rPr>
                <w:rFonts w:ascii="仿宋_GB2312" w:hAnsi="仿宋_GB2312" w:eastAsia="仿宋_GB2312" w:cs="仿宋_GB2312"/>
                <w:color w:val="000000"/>
                <w:sz w:val="21"/>
                <w:szCs w:val="21"/>
              </w:rPr>
              <w:t>1</w:t>
            </w:r>
          </w:p>
          <w:p>
            <w:pPr>
              <w:jc w:val="center"/>
              <w:rPr>
                <w:rFonts w:ascii="仿宋_GB2312" w:hAnsi="仿宋_GB2312" w:eastAsia="仿宋_GB2312" w:cs="仿宋_GB2312"/>
                <w:color w:val="000000"/>
                <w:sz w:val="21"/>
                <w:szCs w:val="21"/>
              </w:rPr>
            </w:pPr>
          </w:p>
        </w:tc>
        <w:tc>
          <w:tcPr>
            <w:tcW w:w="1368" w:type="dxa"/>
            <w:vMerge w:val="restart"/>
            <w:vAlign w:val="center"/>
          </w:tcPr>
          <w:p>
            <w:pPr>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信息工程与</w:t>
            </w:r>
          </w:p>
          <w:p>
            <w:pPr>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建筑学院</w:t>
            </w:r>
          </w:p>
          <w:p>
            <w:pPr>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（共</w:t>
            </w:r>
            <w:r>
              <w:rPr>
                <w:rFonts w:hint="eastAsia" w:ascii="仿宋_GB2312" w:hAnsi="仿宋_GB2312" w:eastAsia="仿宋_GB2312" w:cs="仿宋_GB2312"/>
                <w:color w:val="000000"/>
                <w:sz w:val="21"/>
                <w:szCs w:val="21"/>
                <w:lang w:val="en-US" w:eastAsia="zh-CN"/>
              </w:rPr>
              <w:t>8</w:t>
            </w:r>
            <w:r>
              <w:rPr>
                <w:rFonts w:hint="eastAsia" w:ascii="仿宋_GB2312" w:hAnsi="仿宋_GB2312" w:eastAsia="仿宋_GB2312" w:cs="仿宋_GB2312"/>
                <w:color w:val="000000"/>
                <w:sz w:val="21"/>
                <w:szCs w:val="21"/>
              </w:rPr>
              <w:t>人）</w:t>
            </w:r>
          </w:p>
        </w:tc>
        <w:tc>
          <w:tcPr>
            <w:tcW w:w="1505" w:type="dxa"/>
            <w:vAlign w:val="center"/>
          </w:tcPr>
          <w:p>
            <w:pPr>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工程造价教学辅助</w:t>
            </w:r>
          </w:p>
        </w:tc>
        <w:tc>
          <w:tcPr>
            <w:tcW w:w="3910" w:type="dxa"/>
            <w:vAlign w:val="center"/>
          </w:tcPr>
          <w:p>
            <w:pP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管理科学与工程、建筑与土木工程、结构工程、环境设计及相近专业</w:t>
            </w:r>
          </w:p>
        </w:tc>
        <w:tc>
          <w:tcPr>
            <w:tcW w:w="709" w:type="dxa"/>
            <w:vAlign w:val="center"/>
          </w:tcPr>
          <w:p>
            <w:pPr>
              <w:jc w:val="center"/>
              <w:rPr>
                <w:rFonts w:ascii="仿宋_GB2312" w:hAnsi="仿宋_GB2312" w:eastAsia="仿宋_GB2312" w:cs="仿宋_GB2312"/>
                <w:color w:val="000000"/>
                <w:sz w:val="21"/>
                <w:szCs w:val="21"/>
              </w:rPr>
            </w:pPr>
            <w:r>
              <w:rPr>
                <w:rFonts w:ascii="仿宋_GB2312" w:hAnsi="仿宋_GB2312" w:eastAsia="仿宋_GB2312" w:cs="仿宋_GB2312"/>
                <w:color w:val="000000"/>
                <w:sz w:val="21"/>
                <w:szCs w:val="21"/>
              </w:rPr>
              <w:t>2</w:t>
            </w:r>
          </w:p>
        </w:tc>
        <w:tc>
          <w:tcPr>
            <w:tcW w:w="1399" w:type="dxa"/>
            <w:vAlign w:val="center"/>
          </w:tcPr>
          <w:p>
            <w:pPr>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普通全日制研究生</w:t>
            </w:r>
          </w:p>
        </w:tc>
        <w:tc>
          <w:tcPr>
            <w:tcW w:w="1744" w:type="dxa"/>
            <w:vAlign w:val="center"/>
          </w:tcPr>
          <w:p>
            <w:pPr>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硕士及以上</w:t>
            </w:r>
          </w:p>
        </w:tc>
        <w:tc>
          <w:tcPr>
            <w:tcW w:w="2325" w:type="dxa"/>
            <w:vAlign w:val="center"/>
          </w:tcPr>
          <w:p>
            <w:pP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环境设计为室内设计方向</w:t>
            </w:r>
          </w:p>
        </w:tc>
        <w:tc>
          <w:tcPr>
            <w:tcW w:w="706" w:type="dxa"/>
            <w:vAlign w:val="center"/>
          </w:tcPr>
          <w:p>
            <w:pPr>
              <w:rPr>
                <w:rFonts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exact"/>
        </w:trPr>
        <w:tc>
          <w:tcPr>
            <w:tcW w:w="508" w:type="dxa"/>
            <w:vMerge w:val="continue"/>
            <w:vAlign w:val="center"/>
          </w:tcPr>
          <w:p>
            <w:pPr>
              <w:jc w:val="center"/>
              <w:rPr>
                <w:rFonts w:ascii="仿宋_GB2312" w:hAnsi="仿宋_GB2312" w:eastAsia="仿宋_GB2312" w:cs="仿宋_GB2312"/>
                <w:color w:val="000000"/>
                <w:sz w:val="21"/>
                <w:szCs w:val="21"/>
              </w:rPr>
            </w:pPr>
          </w:p>
        </w:tc>
        <w:tc>
          <w:tcPr>
            <w:tcW w:w="1368" w:type="dxa"/>
            <w:vMerge w:val="continue"/>
            <w:vAlign w:val="center"/>
          </w:tcPr>
          <w:p>
            <w:pPr>
              <w:jc w:val="center"/>
              <w:rPr>
                <w:rFonts w:ascii="仿宋_GB2312" w:hAnsi="仿宋_GB2312" w:eastAsia="仿宋_GB2312" w:cs="仿宋_GB2312"/>
                <w:color w:val="000000"/>
                <w:sz w:val="21"/>
                <w:szCs w:val="21"/>
              </w:rPr>
            </w:pPr>
          </w:p>
        </w:tc>
        <w:tc>
          <w:tcPr>
            <w:tcW w:w="1505" w:type="dxa"/>
            <w:vAlign w:val="center"/>
          </w:tcPr>
          <w:p>
            <w:pPr>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计算机</w:t>
            </w:r>
          </w:p>
          <w:p>
            <w:pPr>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教学辅助</w:t>
            </w:r>
          </w:p>
        </w:tc>
        <w:tc>
          <w:tcPr>
            <w:tcW w:w="3910" w:type="dxa"/>
            <w:vAlign w:val="center"/>
          </w:tcPr>
          <w:p>
            <w:pP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计算机科学与技术、计算机应用技术、计算机软件与理论、计算机系统结构、通信与信息系统、信号与信息处理、信息与通信工程、通信与信息系统及相近专业</w:t>
            </w:r>
          </w:p>
        </w:tc>
        <w:tc>
          <w:tcPr>
            <w:tcW w:w="709" w:type="dxa"/>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6</w:t>
            </w:r>
          </w:p>
        </w:tc>
        <w:tc>
          <w:tcPr>
            <w:tcW w:w="1399" w:type="dxa"/>
            <w:vAlign w:val="center"/>
          </w:tcPr>
          <w:p>
            <w:pPr>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普通全日制研究生</w:t>
            </w:r>
          </w:p>
        </w:tc>
        <w:tc>
          <w:tcPr>
            <w:tcW w:w="1744" w:type="dxa"/>
            <w:vAlign w:val="center"/>
          </w:tcPr>
          <w:p>
            <w:pPr>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硕士及以上</w:t>
            </w:r>
          </w:p>
        </w:tc>
        <w:tc>
          <w:tcPr>
            <w:tcW w:w="2325" w:type="dxa"/>
            <w:vAlign w:val="center"/>
          </w:tcPr>
          <w:p>
            <w:pPr>
              <w:rPr>
                <w:rFonts w:ascii="仿宋_GB2312" w:hAnsi="仿宋_GB2312" w:eastAsia="仿宋_GB2312" w:cs="仿宋_GB2312"/>
                <w:color w:val="000000"/>
                <w:sz w:val="21"/>
                <w:szCs w:val="21"/>
              </w:rPr>
            </w:pPr>
          </w:p>
        </w:tc>
        <w:tc>
          <w:tcPr>
            <w:tcW w:w="706" w:type="dxa"/>
            <w:vAlign w:val="center"/>
          </w:tcPr>
          <w:p>
            <w:pPr>
              <w:jc w:val="left"/>
              <w:rPr>
                <w:rFonts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exact"/>
        </w:trPr>
        <w:tc>
          <w:tcPr>
            <w:tcW w:w="508" w:type="dxa"/>
            <w:vMerge w:val="restart"/>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2</w:t>
            </w:r>
          </w:p>
        </w:tc>
        <w:tc>
          <w:tcPr>
            <w:tcW w:w="1368" w:type="dxa"/>
            <w:vMerge w:val="restart"/>
            <w:vAlign w:val="center"/>
          </w:tcPr>
          <w:p>
            <w:pPr>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机电工程学院</w:t>
            </w:r>
          </w:p>
          <w:p>
            <w:pPr>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（共</w:t>
            </w:r>
            <w:r>
              <w:rPr>
                <w:rFonts w:ascii="仿宋_GB2312" w:hAnsi="仿宋_GB2312" w:eastAsia="仿宋_GB2312" w:cs="仿宋_GB2312"/>
                <w:color w:val="000000"/>
                <w:sz w:val="21"/>
                <w:szCs w:val="21"/>
              </w:rPr>
              <w:t>4</w:t>
            </w:r>
            <w:r>
              <w:rPr>
                <w:rFonts w:hint="eastAsia" w:ascii="仿宋_GB2312" w:hAnsi="仿宋_GB2312" w:eastAsia="仿宋_GB2312" w:cs="仿宋_GB2312"/>
                <w:color w:val="000000"/>
                <w:sz w:val="21"/>
                <w:szCs w:val="21"/>
              </w:rPr>
              <w:t>人）</w:t>
            </w:r>
          </w:p>
        </w:tc>
        <w:tc>
          <w:tcPr>
            <w:tcW w:w="1505" w:type="dxa"/>
            <w:vAlign w:val="center"/>
          </w:tcPr>
          <w:p>
            <w:pP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工业机器人应用技术教学辅助</w:t>
            </w:r>
          </w:p>
        </w:tc>
        <w:tc>
          <w:tcPr>
            <w:tcW w:w="3910" w:type="dxa"/>
            <w:vAlign w:val="center"/>
          </w:tcPr>
          <w:p>
            <w:pP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控制工程、控制理论与控制工程、模式识别与智能系统、机械电子工程及相近专业</w:t>
            </w:r>
          </w:p>
        </w:tc>
        <w:tc>
          <w:tcPr>
            <w:tcW w:w="709" w:type="dxa"/>
            <w:vAlign w:val="center"/>
          </w:tcPr>
          <w:p>
            <w:pPr>
              <w:jc w:val="center"/>
              <w:rPr>
                <w:rFonts w:ascii="仿宋_GB2312" w:hAnsi="仿宋_GB2312" w:eastAsia="仿宋_GB2312" w:cs="仿宋_GB2312"/>
                <w:color w:val="000000"/>
                <w:sz w:val="21"/>
                <w:szCs w:val="21"/>
              </w:rPr>
            </w:pPr>
            <w:r>
              <w:rPr>
                <w:rFonts w:ascii="仿宋_GB2312" w:hAnsi="仿宋_GB2312" w:eastAsia="仿宋_GB2312" w:cs="仿宋_GB2312"/>
                <w:color w:val="000000"/>
                <w:sz w:val="21"/>
                <w:szCs w:val="21"/>
              </w:rPr>
              <w:t>1</w:t>
            </w:r>
          </w:p>
        </w:tc>
        <w:tc>
          <w:tcPr>
            <w:tcW w:w="1399" w:type="dxa"/>
            <w:vAlign w:val="center"/>
          </w:tcPr>
          <w:p>
            <w:pPr>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普通全日制研究生</w:t>
            </w:r>
          </w:p>
        </w:tc>
        <w:tc>
          <w:tcPr>
            <w:tcW w:w="1744" w:type="dxa"/>
            <w:vAlign w:val="center"/>
          </w:tcPr>
          <w:p>
            <w:pPr>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硕士及以上</w:t>
            </w:r>
          </w:p>
        </w:tc>
        <w:tc>
          <w:tcPr>
            <w:tcW w:w="2325" w:type="dxa"/>
            <w:vAlign w:val="center"/>
          </w:tcPr>
          <w:p>
            <w:pPr>
              <w:jc w:val="center"/>
              <w:rPr>
                <w:rFonts w:ascii="仿宋_GB2312" w:hAnsi="仿宋_GB2312" w:eastAsia="仿宋_GB2312" w:cs="仿宋_GB2312"/>
                <w:color w:val="000000"/>
                <w:sz w:val="21"/>
                <w:szCs w:val="21"/>
              </w:rPr>
            </w:pPr>
          </w:p>
        </w:tc>
        <w:tc>
          <w:tcPr>
            <w:tcW w:w="706" w:type="dxa"/>
            <w:vAlign w:val="center"/>
          </w:tcPr>
          <w:p>
            <w:pPr>
              <w:rPr>
                <w:rFonts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exact"/>
        </w:trPr>
        <w:tc>
          <w:tcPr>
            <w:tcW w:w="508" w:type="dxa"/>
            <w:vMerge w:val="continue"/>
            <w:vAlign w:val="center"/>
          </w:tcPr>
          <w:p>
            <w:pPr>
              <w:jc w:val="center"/>
              <w:rPr>
                <w:rFonts w:ascii="仿宋_GB2312" w:hAnsi="仿宋_GB2312" w:eastAsia="仿宋_GB2312" w:cs="仿宋_GB2312"/>
                <w:color w:val="000000"/>
                <w:sz w:val="21"/>
                <w:szCs w:val="21"/>
              </w:rPr>
            </w:pPr>
          </w:p>
        </w:tc>
        <w:tc>
          <w:tcPr>
            <w:tcW w:w="1368" w:type="dxa"/>
            <w:vMerge w:val="continue"/>
            <w:vAlign w:val="center"/>
          </w:tcPr>
          <w:p>
            <w:pPr>
              <w:jc w:val="center"/>
              <w:rPr>
                <w:rFonts w:ascii="仿宋_GB2312" w:hAnsi="仿宋_GB2312" w:eastAsia="仿宋_GB2312" w:cs="仿宋_GB2312"/>
                <w:color w:val="000000"/>
                <w:sz w:val="21"/>
                <w:szCs w:val="21"/>
              </w:rPr>
            </w:pPr>
          </w:p>
        </w:tc>
        <w:tc>
          <w:tcPr>
            <w:tcW w:w="1505" w:type="dxa"/>
            <w:vAlign w:val="center"/>
          </w:tcPr>
          <w:p>
            <w:pP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电气自动化教学辅助</w:t>
            </w:r>
          </w:p>
        </w:tc>
        <w:tc>
          <w:tcPr>
            <w:tcW w:w="3910" w:type="dxa"/>
            <w:vAlign w:val="center"/>
          </w:tcPr>
          <w:p>
            <w:pP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电气工程、控制工程、控制理论与控制工程、电力系统及其自动化、电力电子与电力传动及相近专业</w:t>
            </w:r>
          </w:p>
        </w:tc>
        <w:tc>
          <w:tcPr>
            <w:tcW w:w="709" w:type="dxa"/>
            <w:vAlign w:val="center"/>
          </w:tcPr>
          <w:p>
            <w:pPr>
              <w:jc w:val="center"/>
              <w:rPr>
                <w:rFonts w:ascii="仿宋_GB2312" w:hAnsi="仿宋_GB2312" w:eastAsia="仿宋_GB2312" w:cs="仿宋_GB2312"/>
                <w:color w:val="000000"/>
                <w:sz w:val="21"/>
                <w:szCs w:val="21"/>
              </w:rPr>
            </w:pPr>
            <w:r>
              <w:rPr>
                <w:rFonts w:ascii="仿宋_GB2312" w:hAnsi="仿宋_GB2312" w:eastAsia="仿宋_GB2312" w:cs="仿宋_GB2312"/>
                <w:color w:val="000000"/>
                <w:sz w:val="21"/>
                <w:szCs w:val="21"/>
              </w:rPr>
              <w:t>3</w:t>
            </w:r>
          </w:p>
        </w:tc>
        <w:tc>
          <w:tcPr>
            <w:tcW w:w="1399" w:type="dxa"/>
            <w:vAlign w:val="center"/>
          </w:tcPr>
          <w:p>
            <w:pPr>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普通全日制研究生</w:t>
            </w:r>
          </w:p>
        </w:tc>
        <w:tc>
          <w:tcPr>
            <w:tcW w:w="1744" w:type="dxa"/>
            <w:vAlign w:val="center"/>
          </w:tcPr>
          <w:p>
            <w:pPr>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硕士及以上</w:t>
            </w:r>
          </w:p>
        </w:tc>
        <w:tc>
          <w:tcPr>
            <w:tcW w:w="2325" w:type="dxa"/>
            <w:vAlign w:val="center"/>
          </w:tcPr>
          <w:p>
            <w:pPr>
              <w:jc w:val="center"/>
              <w:rPr>
                <w:rFonts w:ascii="仿宋_GB2312" w:hAnsi="仿宋_GB2312" w:eastAsia="仿宋_GB2312" w:cs="仿宋_GB2312"/>
                <w:color w:val="000000"/>
                <w:sz w:val="21"/>
                <w:szCs w:val="21"/>
              </w:rPr>
            </w:pPr>
          </w:p>
        </w:tc>
        <w:tc>
          <w:tcPr>
            <w:tcW w:w="706" w:type="dxa"/>
            <w:vAlign w:val="center"/>
          </w:tcPr>
          <w:p>
            <w:pPr>
              <w:jc w:val="center"/>
              <w:rPr>
                <w:rFonts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exact"/>
        </w:trPr>
        <w:tc>
          <w:tcPr>
            <w:tcW w:w="508" w:type="dxa"/>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3</w:t>
            </w:r>
          </w:p>
        </w:tc>
        <w:tc>
          <w:tcPr>
            <w:tcW w:w="1368" w:type="dxa"/>
            <w:vAlign w:val="center"/>
          </w:tcPr>
          <w:p>
            <w:pPr>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能源工程学院</w:t>
            </w:r>
          </w:p>
          <w:p>
            <w:pPr>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（共</w:t>
            </w:r>
            <w:r>
              <w:rPr>
                <w:rFonts w:ascii="仿宋_GB2312" w:hAnsi="仿宋_GB2312" w:eastAsia="仿宋_GB2312" w:cs="仿宋_GB2312"/>
                <w:color w:val="000000"/>
                <w:sz w:val="21"/>
                <w:szCs w:val="21"/>
              </w:rPr>
              <w:t>1</w:t>
            </w:r>
            <w:r>
              <w:rPr>
                <w:rFonts w:hint="eastAsia" w:ascii="仿宋_GB2312" w:hAnsi="仿宋_GB2312" w:eastAsia="仿宋_GB2312" w:cs="仿宋_GB2312"/>
                <w:color w:val="000000"/>
                <w:sz w:val="21"/>
                <w:szCs w:val="21"/>
              </w:rPr>
              <w:t>人）</w:t>
            </w:r>
          </w:p>
        </w:tc>
        <w:tc>
          <w:tcPr>
            <w:tcW w:w="1505" w:type="dxa"/>
            <w:vAlign w:val="center"/>
          </w:tcPr>
          <w:p>
            <w:pPr>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食品科学与工程教学辅助</w:t>
            </w:r>
          </w:p>
        </w:tc>
        <w:tc>
          <w:tcPr>
            <w:tcW w:w="3910" w:type="dxa"/>
            <w:vAlign w:val="center"/>
          </w:tcPr>
          <w:p>
            <w:pP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食品科学与工程、食品科学及相近专业</w:t>
            </w:r>
          </w:p>
        </w:tc>
        <w:tc>
          <w:tcPr>
            <w:tcW w:w="709" w:type="dxa"/>
            <w:vAlign w:val="center"/>
          </w:tcPr>
          <w:p>
            <w:pPr>
              <w:jc w:val="center"/>
              <w:rPr>
                <w:rFonts w:ascii="仿宋_GB2312" w:hAnsi="仿宋_GB2312" w:eastAsia="仿宋_GB2312" w:cs="仿宋_GB2312"/>
                <w:color w:val="000000"/>
                <w:sz w:val="21"/>
                <w:szCs w:val="21"/>
              </w:rPr>
            </w:pPr>
            <w:r>
              <w:rPr>
                <w:rFonts w:ascii="仿宋_GB2312" w:hAnsi="仿宋_GB2312" w:eastAsia="仿宋_GB2312" w:cs="仿宋_GB2312"/>
                <w:color w:val="000000"/>
                <w:sz w:val="21"/>
                <w:szCs w:val="21"/>
              </w:rPr>
              <w:t>1</w:t>
            </w:r>
          </w:p>
        </w:tc>
        <w:tc>
          <w:tcPr>
            <w:tcW w:w="1399" w:type="dxa"/>
            <w:vAlign w:val="center"/>
          </w:tcPr>
          <w:p>
            <w:pPr>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普通全日制研究生</w:t>
            </w:r>
          </w:p>
        </w:tc>
        <w:tc>
          <w:tcPr>
            <w:tcW w:w="1744" w:type="dxa"/>
            <w:vAlign w:val="center"/>
          </w:tcPr>
          <w:p>
            <w:pPr>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硕士及以上</w:t>
            </w:r>
          </w:p>
        </w:tc>
        <w:tc>
          <w:tcPr>
            <w:tcW w:w="2325" w:type="dxa"/>
            <w:vAlign w:val="center"/>
          </w:tcPr>
          <w:p>
            <w:pPr>
              <w:tabs>
                <w:tab w:val="left" w:pos="312"/>
              </w:tabs>
              <w:rPr>
                <w:rFonts w:ascii="仿宋_GB2312" w:hAnsi="仿宋_GB2312" w:eastAsia="仿宋_GB2312" w:cs="仿宋_GB2312"/>
                <w:color w:val="000000"/>
                <w:sz w:val="21"/>
                <w:szCs w:val="21"/>
              </w:rPr>
            </w:pPr>
          </w:p>
        </w:tc>
        <w:tc>
          <w:tcPr>
            <w:tcW w:w="706" w:type="dxa"/>
            <w:vAlign w:val="center"/>
          </w:tcPr>
          <w:p>
            <w:pPr>
              <w:rPr>
                <w:rFonts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exact"/>
        </w:trPr>
        <w:tc>
          <w:tcPr>
            <w:tcW w:w="508" w:type="dxa"/>
            <w:vMerge w:val="restart"/>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4</w:t>
            </w:r>
          </w:p>
        </w:tc>
        <w:tc>
          <w:tcPr>
            <w:tcW w:w="1368" w:type="dxa"/>
            <w:vMerge w:val="restart"/>
            <w:vAlign w:val="center"/>
          </w:tcPr>
          <w:p>
            <w:pPr>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工商管理学院</w:t>
            </w:r>
          </w:p>
          <w:p>
            <w:pPr>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（共</w:t>
            </w:r>
            <w:r>
              <w:rPr>
                <w:rFonts w:hint="eastAsia" w:ascii="仿宋_GB2312" w:hAnsi="仿宋_GB2312" w:eastAsia="仿宋_GB2312" w:cs="仿宋_GB2312"/>
                <w:color w:val="000000"/>
                <w:sz w:val="21"/>
                <w:szCs w:val="21"/>
                <w:lang w:val="en-US" w:eastAsia="zh-CN"/>
              </w:rPr>
              <w:t>7</w:t>
            </w:r>
            <w:r>
              <w:rPr>
                <w:rFonts w:hint="eastAsia" w:ascii="仿宋_GB2312" w:hAnsi="仿宋_GB2312" w:eastAsia="仿宋_GB2312" w:cs="仿宋_GB2312"/>
                <w:color w:val="000000"/>
                <w:sz w:val="21"/>
                <w:szCs w:val="21"/>
              </w:rPr>
              <w:t>人）</w:t>
            </w:r>
          </w:p>
        </w:tc>
        <w:tc>
          <w:tcPr>
            <w:tcW w:w="1505" w:type="dxa"/>
            <w:vAlign w:val="center"/>
          </w:tcPr>
          <w:p>
            <w:pPr>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工商管理教学辅助</w:t>
            </w:r>
          </w:p>
        </w:tc>
        <w:tc>
          <w:tcPr>
            <w:tcW w:w="3910" w:type="dxa"/>
            <w:vAlign w:val="center"/>
          </w:tcPr>
          <w:p>
            <w:pP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工商管理、企业管理、人力资源管理、世界经济、国际贸易学及相近专业</w:t>
            </w:r>
          </w:p>
        </w:tc>
        <w:tc>
          <w:tcPr>
            <w:tcW w:w="709" w:type="dxa"/>
            <w:vAlign w:val="center"/>
          </w:tcPr>
          <w:p>
            <w:pPr>
              <w:jc w:val="center"/>
              <w:rPr>
                <w:rFonts w:ascii="仿宋_GB2312" w:hAnsi="仿宋_GB2312" w:eastAsia="仿宋_GB2312" w:cs="仿宋_GB2312"/>
                <w:color w:val="000000"/>
                <w:sz w:val="21"/>
                <w:szCs w:val="21"/>
              </w:rPr>
            </w:pPr>
            <w:r>
              <w:rPr>
                <w:rFonts w:ascii="仿宋_GB2312" w:hAnsi="仿宋_GB2312" w:eastAsia="仿宋_GB2312" w:cs="仿宋_GB2312"/>
                <w:color w:val="000000"/>
                <w:sz w:val="21"/>
                <w:szCs w:val="21"/>
              </w:rPr>
              <w:t>1</w:t>
            </w:r>
          </w:p>
        </w:tc>
        <w:tc>
          <w:tcPr>
            <w:tcW w:w="1399" w:type="dxa"/>
            <w:vAlign w:val="center"/>
          </w:tcPr>
          <w:p>
            <w:pPr>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普通全日制研究生</w:t>
            </w:r>
          </w:p>
        </w:tc>
        <w:tc>
          <w:tcPr>
            <w:tcW w:w="1744" w:type="dxa"/>
            <w:vAlign w:val="center"/>
          </w:tcPr>
          <w:p>
            <w:pPr>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硕士及以上</w:t>
            </w:r>
          </w:p>
        </w:tc>
        <w:tc>
          <w:tcPr>
            <w:tcW w:w="2325" w:type="dxa"/>
            <w:vAlign w:val="center"/>
          </w:tcPr>
          <w:p>
            <w:pPr>
              <w:jc w:val="center"/>
              <w:rPr>
                <w:rFonts w:ascii="仿宋_GB2312" w:hAnsi="仿宋_GB2312" w:eastAsia="仿宋_GB2312" w:cs="仿宋_GB2312"/>
                <w:color w:val="000000"/>
                <w:sz w:val="21"/>
                <w:szCs w:val="21"/>
              </w:rPr>
            </w:pPr>
          </w:p>
        </w:tc>
        <w:tc>
          <w:tcPr>
            <w:tcW w:w="706" w:type="dxa"/>
            <w:vAlign w:val="center"/>
          </w:tcPr>
          <w:p>
            <w:pPr>
              <w:jc w:val="center"/>
              <w:rPr>
                <w:rFonts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exact"/>
        </w:trPr>
        <w:tc>
          <w:tcPr>
            <w:tcW w:w="508" w:type="dxa"/>
            <w:vMerge w:val="continue"/>
            <w:vAlign w:val="center"/>
          </w:tcPr>
          <w:p>
            <w:pPr>
              <w:jc w:val="center"/>
              <w:rPr>
                <w:rFonts w:hint="eastAsia" w:ascii="仿宋_GB2312" w:hAnsi="仿宋_GB2312" w:eastAsia="仿宋_GB2312" w:cs="仿宋_GB2312"/>
                <w:color w:val="000000"/>
                <w:sz w:val="21"/>
                <w:szCs w:val="21"/>
                <w:lang w:val="en-US" w:eastAsia="zh-CN"/>
              </w:rPr>
            </w:pPr>
          </w:p>
        </w:tc>
        <w:tc>
          <w:tcPr>
            <w:tcW w:w="1368" w:type="dxa"/>
            <w:vMerge w:val="continue"/>
            <w:vAlign w:val="center"/>
          </w:tcPr>
          <w:p>
            <w:pPr>
              <w:jc w:val="center"/>
              <w:rPr>
                <w:rFonts w:ascii="仿宋_GB2312" w:hAnsi="仿宋_GB2312" w:eastAsia="仿宋_GB2312" w:cs="仿宋_GB2312"/>
                <w:color w:val="000000"/>
                <w:sz w:val="21"/>
                <w:szCs w:val="21"/>
              </w:rPr>
            </w:pPr>
          </w:p>
        </w:tc>
        <w:tc>
          <w:tcPr>
            <w:tcW w:w="1505" w:type="dxa"/>
            <w:vAlign w:val="center"/>
          </w:tcPr>
          <w:p>
            <w:pPr>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市场营销教学辅助</w:t>
            </w:r>
          </w:p>
        </w:tc>
        <w:tc>
          <w:tcPr>
            <w:tcW w:w="3910" w:type="dxa"/>
            <w:vAlign w:val="center"/>
          </w:tcPr>
          <w:p>
            <w:pP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管理科学与工程、市场营销、工商管理及相近专业</w:t>
            </w:r>
          </w:p>
        </w:tc>
        <w:tc>
          <w:tcPr>
            <w:tcW w:w="709" w:type="dxa"/>
            <w:vAlign w:val="center"/>
          </w:tcPr>
          <w:p>
            <w:pPr>
              <w:jc w:val="center"/>
              <w:rPr>
                <w:rFonts w:ascii="仿宋_GB2312" w:hAnsi="仿宋_GB2312" w:eastAsia="仿宋_GB2312" w:cs="仿宋_GB2312"/>
                <w:color w:val="000000"/>
                <w:sz w:val="21"/>
                <w:szCs w:val="21"/>
              </w:rPr>
            </w:pPr>
            <w:r>
              <w:rPr>
                <w:rFonts w:ascii="仿宋_GB2312" w:hAnsi="仿宋_GB2312" w:eastAsia="仿宋_GB2312" w:cs="仿宋_GB2312"/>
                <w:color w:val="000000"/>
                <w:sz w:val="21"/>
                <w:szCs w:val="21"/>
              </w:rPr>
              <w:t>2</w:t>
            </w:r>
          </w:p>
        </w:tc>
        <w:tc>
          <w:tcPr>
            <w:tcW w:w="1399" w:type="dxa"/>
            <w:vAlign w:val="center"/>
          </w:tcPr>
          <w:p>
            <w:pPr>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普通全日制研究生</w:t>
            </w:r>
          </w:p>
        </w:tc>
        <w:tc>
          <w:tcPr>
            <w:tcW w:w="1744" w:type="dxa"/>
            <w:vAlign w:val="center"/>
          </w:tcPr>
          <w:p>
            <w:pPr>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硕士及以上</w:t>
            </w:r>
          </w:p>
        </w:tc>
        <w:tc>
          <w:tcPr>
            <w:tcW w:w="2325" w:type="dxa"/>
            <w:vAlign w:val="center"/>
          </w:tcPr>
          <w:p>
            <w:pP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管理科学与工程本科阶段为市场营销专业</w:t>
            </w:r>
          </w:p>
        </w:tc>
        <w:tc>
          <w:tcPr>
            <w:tcW w:w="706" w:type="dxa"/>
            <w:vAlign w:val="center"/>
          </w:tcPr>
          <w:p>
            <w:pPr>
              <w:jc w:val="center"/>
              <w:rPr>
                <w:rFonts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exact"/>
        </w:trPr>
        <w:tc>
          <w:tcPr>
            <w:tcW w:w="508" w:type="dxa"/>
            <w:vMerge w:val="continue"/>
            <w:vAlign w:val="center"/>
          </w:tcPr>
          <w:p>
            <w:pPr>
              <w:jc w:val="center"/>
              <w:rPr>
                <w:rFonts w:ascii="仿宋_GB2312" w:hAnsi="仿宋_GB2312" w:eastAsia="仿宋_GB2312" w:cs="仿宋_GB2312"/>
                <w:color w:val="000000"/>
                <w:sz w:val="21"/>
                <w:szCs w:val="21"/>
              </w:rPr>
            </w:pPr>
          </w:p>
        </w:tc>
        <w:tc>
          <w:tcPr>
            <w:tcW w:w="1368" w:type="dxa"/>
            <w:vMerge w:val="continue"/>
            <w:vAlign w:val="center"/>
          </w:tcPr>
          <w:p>
            <w:pPr>
              <w:jc w:val="center"/>
              <w:rPr>
                <w:rFonts w:ascii="仿宋_GB2312" w:hAnsi="仿宋_GB2312" w:eastAsia="仿宋_GB2312" w:cs="仿宋_GB2312"/>
                <w:color w:val="000000"/>
                <w:sz w:val="21"/>
                <w:szCs w:val="21"/>
              </w:rPr>
            </w:pPr>
          </w:p>
        </w:tc>
        <w:tc>
          <w:tcPr>
            <w:tcW w:w="1505" w:type="dxa"/>
            <w:vAlign w:val="center"/>
          </w:tcPr>
          <w:p>
            <w:pPr>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物流管理教学辅助</w:t>
            </w:r>
          </w:p>
        </w:tc>
        <w:tc>
          <w:tcPr>
            <w:tcW w:w="3910" w:type="dxa"/>
            <w:vAlign w:val="center"/>
          </w:tcPr>
          <w:p>
            <w:pP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物流与供应链管理、物流管理与工程、管理科学与工程及相近专业</w:t>
            </w:r>
          </w:p>
        </w:tc>
        <w:tc>
          <w:tcPr>
            <w:tcW w:w="709" w:type="dxa"/>
            <w:vAlign w:val="center"/>
          </w:tcPr>
          <w:p>
            <w:pPr>
              <w:jc w:val="center"/>
              <w:rPr>
                <w:rFonts w:ascii="仿宋_GB2312" w:hAnsi="仿宋_GB2312" w:eastAsia="仿宋_GB2312" w:cs="仿宋_GB2312"/>
                <w:color w:val="000000"/>
                <w:sz w:val="21"/>
                <w:szCs w:val="21"/>
              </w:rPr>
            </w:pPr>
            <w:r>
              <w:rPr>
                <w:rFonts w:ascii="仿宋_GB2312" w:hAnsi="仿宋_GB2312" w:eastAsia="仿宋_GB2312" w:cs="仿宋_GB2312"/>
                <w:color w:val="000000"/>
                <w:sz w:val="21"/>
                <w:szCs w:val="21"/>
              </w:rPr>
              <w:t>2</w:t>
            </w:r>
          </w:p>
        </w:tc>
        <w:tc>
          <w:tcPr>
            <w:tcW w:w="1399" w:type="dxa"/>
            <w:vAlign w:val="center"/>
          </w:tcPr>
          <w:p>
            <w:pPr>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普通全日制研究生</w:t>
            </w:r>
          </w:p>
        </w:tc>
        <w:tc>
          <w:tcPr>
            <w:tcW w:w="1744" w:type="dxa"/>
            <w:vAlign w:val="center"/>
          </w:tcPr>
          <w:p>
            <w:pPr>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硕士及以上</w:t>
            </w:r>
          </w:p>
        </w:tc>
        <w:tc>
          <w:tcPr>
            <w:tcW w:w="2325" w:type="dxa"/>
            <w:vAlign w:val="center"/>
          </w:tcPr>
          <w:p>
            <w:pPr>
              <w:jc w:val="center"/>
              <w:rPr>
                <w:rFonts w:ascii="仿宋_GB2312" w:hAnsi="仿宋_GB2312" w:eastAsia="仿宋_GB2312" w:cs="仿宋_GB2312"/>
                <w:color w:val="000000"/>
                <w:sz w:val="21"/>
                <w:szCs w:val="21"/>
              </w:rPr>
            </w:pPr>
          </w:p>
        </w:tc>
        <w:tc>
          <w:tcPr>
            <w:tcW w:w="706" w:type="dxa"/>
            <w:vAlign w:val="center"/>
          </w:tcPr>
          <w:p>
            <w:pPr>
              <w:jc w:val="center"/>
              <w:rPr>
                <w:rFonts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exact"/>
        </w:trPr>
        <w:tc>
          <w:tcPr>
            <w:tcW w:w="508" w:type="dxa"/>
            <w:vMerge w:val="continue"/>
            <w:vAlign w:val="center"/>
          </w:tcPr>
          <w:p>
            <w:pPr>
              <w:jc w:val="center"/>
              <w:rPr>
                <w:rFonts w:ascii="仿宋_GB2312" w:hAnsi="仿宋_GB2312" w:eastAsia="仿宋_GB2312" w:cs="仿宋_GB2312"/>
                <w:color w:val="000000"/>
                <w:sz w:val="21"/>
                <w:szCs w:val="21"/>
              </w:rPr>
            </w:pPr>
          </w:p>
        </w:tc>
        <w:tc>
          <w:tcPr>
            <w:tcW w:w="1368" w:type="dxa"/>
            <w:vMerge w:val="continue"/>
            <w:vAlign w:val="center"/>
          </w:tcPr>
          <w:p>
            <w:pPr>
              <w:jc w:val="center"/>
              <w:rPr>
                <w:rFonts w:ascii="仿宋_GB2312" w:hAnsi="仿宋_GB2312" w:eastAsia="仿宋_GB2312" w:cs="仿宋_GB2312"/>
                <w:color w:val="000000"/>
                <w:sz w:val="21"/>
                <w:szCs w:val="21"/>
              </w:rPr>
            </w:pPr>
          </w:p>
        </w:tc>
        <w:tc>
          <w:tcPr>
            <w:tcW w:w="1505" w:type="dxa"/>
            <w:vAlign w:val="center"/>
          </w:tcPr>
          <w:p>
            <w:pP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电子商务教学辅助</w:t>
            </w:r>
          </w:p>
        </w:tc>
        <w:tc>
          <w:tcPr>
            <w:tcW w:w="3910" w:type="dxa"/>
            <w:vAlign w:val="center"/>
          </w:tcPr>
          <w:p>
            <w:pP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计算机科学与技术、计算机应用技术、管理科学与工程、电子商务及相近专业</w:t>
            </w:r>
          </w:p>
        </w:tc>
        <w:tc>
          <w:tcPr>
            <w:tcW w:w="709" w:type="dxa"/>
            <w:vAlign w:val="center"/>
          </w:tcPr>
          <w:p>
            <w:pPr>
              <w:jc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2</w:t>
            </w:r>
          </w:p>
        </w:tc>
        <w:tc>
          <w:tcPr>
            <w:tcW w:w="1399" w:type="dxa"/>
            <w:vAlign w:val="center"/>
          </w:tcPr>
          <w:p>
            <w:pPr>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普通全日制研究生</w:t>
            </w:r>
          </w:p>
        </w:tc>
        <w:tc>
          <w:tcPr>
            <w:tcW w:w="1744" w:type="dxa"/>
            <w:vAlign w:val="center"/>
          </w:tcPr>
          <w:p>
            <w:pPr>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硕士及以上</w:t>
            </w:r>
          </w:p>
        </w:tc>
        <w:tc>
          <w:tcPr>
            <w:tcW w:w="2325" w:type="dxa"/>
            <w:vAlign w:val="center"/>
          </w:tcPr>
          <w:p>
            <w:pP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管理科学与工程本科阶段为电子商务专业</w:t>
            </w:r>
          </w:p>
        </w:tc>
        <w:tc>
          <w:tcPr>
            <w:tcW w:w="706" w:type="dxa"/>
            <w:vAlign w:val="center"/>
          </w:tcPr>
          <w:p>
            <w:pPr>
              <w:jc w:val="center"/>
              <w:rPr>
                <w:rFonts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exact"/>
        </w:trPr>
        <w:tc>
          <w:tcPr>
            <w:tcW w:w="508" w:type="dxa"/>
            <w:vMerge w:val="restart"/>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5</w:t>
            </w:r>
          </w:p>
        </w:tc>
        <w:tc>
          <w:tcPr>
            <w:tcW w:w="1368" w:type="dxa"/>
            <w:vMerge w:val="restart"/>
            <w:vAlign w:val="center"/>
          </w:tcPr>
          <w:p>
            <w:pPr>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航空与旅游学院</w:t>
            </w:r>
          </w:p>
          <w:p>
            <w:pPr>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（共</w:t>
            </w:r>
            <w:r>
              <w:rPr>
                <w:rFonts w:hint="eastAsia" w:ascii="仿宋_GB2312" w:hAnsi="仿宋_GB2312" w:eastAsia="仿宋_GB2312" w:cs="仿宋_GB2312"/>
                <w:color w:val="000000"/>
                <w:sz w:val="21"/>
                <w:szCs w:val="21"/>
                <w:lang w:val="en-US" w:eastAsia="zh-CN"/>
              </w:rPr>
              <w:t>4</w:t>
            </w:r>
            <w:r>
              <w:rPr>
                <w:rFonts w:hint="eastAsia" w:ascii="仿宋_GB2312" w:hAnsi="仿宋_GB2312" w:eastAsia="仿宋_GB2312" w:cs="仿宋_GB2312"/>
                <w:color w:val="000000"/>
                <w:sz w:val="21"/>
                <w:szCs w:val="21"/>
              </w:rPr>
              <w:t>人）</w:t>
            </w:r>
          </w:p>
        </w:tc>
        <w:tc>
          <w:tcPr>
            <w:tcW w:w="1505" w:type="dxa"/>
            <w:vAlign w:val="center"/>
          </w:tcPr>
          <w:p>
            <w:pPr>
              <w:jc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旅游管理</w:t>
            </w:r>
            <w:r>
              <w:rPr>
                <w:rFonts w:hint="eastAsia" w:ascii="仿宋_GB2312" w:hAnsi="仿宋_GB2312" w:eastAsia="仿宋_GB2312" w:cs="仿宋_GB2312"/>
                <w:color w:val="000000"/>
                <w:sz w:val="21"/>
                <w:szCs w:val="21"/>
                <w:lang w:eastAsia="zh-CN"/>
              </w:rPr>
              <w:t>教学辅助</w:t>
            </w:r>
          </w:p>
        </w:tc>
        <w:tc>
          <w:tcPr>
            <w:tcW w:w="3910" w:type="dxa"/>
            <w:vAlign w:val="center"/>
          </w:tcPr>
          <w:p>
            <w:pPr>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旅游管理</w:t>
            </w:r>
            <w:r>
              <w:rPr>
                <w:rFonts w:hint="eastAsia" w:ascii="仿宋_GB2312" w:hAnsi="仿宋_GB2312" w:eastAsia="仿宋_GB2312" w:cs="仿宋_GB2312"/>
                <w:color w:val="000000"/>
                <w:sz w:val="21"/>
                <w:szCs w:val="21"/>
                <w:lang w:eastAsia="zh-CN"/>
              </w:rPr>
              <w:t>、</w:t>
            </w:r>
            <w:r>
              <w:rPr>
                <w:rFonts w:hint="eastAsia" w:ascii="仿宋_GB2312" w:hAnsi="仿宋_GB2312" w:eastAsia="仿宋_GB2312" w:cs="仿宋_GB2312"/>
                <w:color w:val="000000"/>
                <w:sz w:val="21"/>
                <w:szCs w:val="21"/>
              </w:rPr>
              <w:t>工商管理及相近专业</w:t>
            </w:r>
          </w:p>
        </w:tc>
        <w:tc>
          <w:tcPr>
            <w:tcW w:w="709" w:type="dxa"/>
            <w:vAlign w:val="center"/>
          </w:tcPr>
          <w:p>
            <w:pPr>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1</w:t>
            </w:r>
            <w:r>
              <w:rPr>
                <w:rFonts w:ascii="仿宋_GB2312" w:hAnsi="仿宋_GB2312" w:eastAsia="仿宋_GB2312" w:cs="仿宋_GB2312"/>
                <w:color w:val="000000"/>
                <w:sz w:val="21"/>
                <w:szCs w:val="21"/>
              </w:rPr>
              <w:fldChar w:fldCharType="begin"/>
            </w:r>
            <w:r>
              <w:rPr>
                <w:rFonts w:ascii="仿宋_GB2312" w:hAnsi="仿宋_GB2312" w:eastAsia="仿宋_GB2312" w:cs="仿宋_GB2312"/>
                <w:color w:val="000000"/>
                <w:sz w:val="21"/>
                <w:szCs w:val="21"/>
              </w:rPr>
              <w:instrText xml:space="preserve"> SUM() </w:instrText>
            </w:r>
            <w:r>
              <w:rPr>
                <w:rFonts w:ascii="仿宋_GB2312" w:hAnsi="仿宋_GB2312" w:eastAsia="仿宋_GB2312" w:cs="仿宋_GB2312"/>
                <w:color w:val="000000"/>
                <w:sz w:val="21"/>
                <w:szCs w:val="21"/>
              </w:rPr>
              <w:fldChar w:fldCharType="end"/>
            </w:r>
          </w:p>
        </w:tc>
        <w:tc>
          <w:tcPr>
            <w:tcW w:w="1399" w:type="dxa"/>
            <w:vAlign w:val="center"/>
          </w:tcPr>
          <w:p>
            <w:pPr>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普通全日制研究生</w:t>
            </w:r>
          </w:p>
        </w:tc>
        <w:tc>
          <w:tcPr>
            <w:tcW w:w="1744" w:type="dxa"/>
            <w:vAlign w:val="center"/>
          </w:tcPr>
          <w:p>
            <w:pPr>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硕士及以上</w:t>
            </w:r>
          </w:p>
        </w:tc>
        <w:tc>
          <w:tcPr>
            <w:tcW w:w="2325" w:type="dxa"/>
            <w:vAlign w:val="center"/>
          </w:tcPr>
          <w:p>
            <w:pPr>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工商管理为旅游管理方向</w:t>
            </w:r>
          </w:p>
        </w:tc>
        <w:tc>
          <w:tcPr>
            <w:tcW w:w="706" w:type="dxa"/>
            <w:vAlign w:val="center"/>
          </w:tcPr>
          <w:p>
            <w:pPr>
              <w:jc w:val="left"/>
              <w:rPr>
                <w:rFonts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exact"/>
        </w:trPr>
        <w:tc>
          <w:tcPr>
            <w:tcW w:w="508" w:type="dxa"/>
            <w:vMerge w:val="continue"/>
            <w:vAlign w:val="center"/>
          </w:tcPr>
          <w:p>
            <w:pPr>
              <w:jc w:val="center"/>
              <w:rPr>
                <w:rFonts w:ascii="仿宋_GB2312" w:hAnsi="仿宋_GB2312" w:eastAsia="仿宋_GB2312" w:cs="仿宋_GB2312"/>
                <w:color w:val="000000"/>
                <w:sz w:val="21"/>
                <w:szCs w:val="21"/>
              </w:rPr>
            </w:pPr>
          </w:p>
        </w:tc>
        <w:tc>
          <w:tcPr>
            <w:tcW w:w="1368" w:type="dxa"/>
            <w:vMerge w:val="continue"/>
            <w:vAlign w:val="center"/>
          </w:tcPr>
          <w:p>
            <w:pPr>
              <w:jc w:val="center"/>
              <w:rPr>
                <w:rFonts w:ascii="仿宋_GB2312" w:hAnsi="仿宋_GB2312" w:eastAsia="仿宋_GB2312" w:cs="仿宋_GB2312"/>
                <w:color w:val="000000"/>
                <w:sz w:val="21"/>
                <w:szCs w:val="21"/>
              </w:rPr>
            </w:pPr>
          </w:p>
        </w:tc>
        <w:tc>
          <w:tcPr>
            <w:tcW w:w="1505" w:type="dxa"/>
            <w:vAlign w:val="center"/>
          </w:tcPr>
          <w:p>
            <w:pPr>
              <w:jc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空中乘务</w:t>
            </w:r>
          </w:p>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民航运输</w:t>
            </w:r>
          </w:p>
          <w:p>
            <w:pPr>
              <w:jc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高铁服务</w:t>
            </w:r>
          </w:p>
          <w:p>
            <w:pPr>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教学辅助</w:t>
            </w:r>
          </w:p>
        </w:tc>
        <w:tc>
          <w:tcPr>
            <w:tcW w:w="3910" w:type="dxa"/>
            <w:vAlign w:val="center"/>
          </w:tcPr>
          <w:p>
            <w:pPr>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交通运输工程、交通运输规划与管理及相近专业</w:t>
            </w:r>
          </w:p>
        </w:tc>
        <w:tc>
          <w:tcPr>
            <w:tcW w:w="709" w:type="dxa"/>
            <w:vAlign w:val="center"/>
          </w:tcPr>
          <w:p>
            <w:pPr>
              <w:jc w:val="center"/>
              <w:rPr>
                <w:rFonts w:ascii="仿宋_GB2312" w:hAnsi="仿宋_GB2312" w:eastAsia="仿宋_GB2312" w:cs="仿宋_GB2312"/>
                <w:color w:val="000000"/>
                <w:sz w:val="21"/>
                <w:szCs w:val="21"/>
              </w:rPr>
            </w:pPr>
            <w:r>
              <w:rPr>
                <w:rFonts w:ascii="仿宋_GB2312" w:hAnsi="仿宋_GB2312" w:eastAsia="仿宋_GB2312" w:cs="仿宋_GB2312"/>
                <w:color w:val="000000"/>
                <w:sz w:val="21"/>
                <w:szCs w:val="21"/>
              </w:rPr>
              <w:t>3</w:t>
            </w:r>
          </w:p>
        </w:tc>
        <w:tc>
          <w:tcPr>
            <w:tcW w:w="1399" w:type="dxa"/>
            <w:vAlign w:val="center"/>
          </w:tcPr>
          <w:p>
            <w:pPr>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普通全日制研究生</w:t>
            </w:r>
          </w:p>
        </w:tc>
        <w:tc>
          <w:tcPr>
            <w:tcW w:w="1744" w:type="dxa"/>
            <w:vAlign w:val="center"/>
          </w:tcPr>
          <w:p>
            <w:pPr>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硕士及以上</w:t>
            </w:r>
          </w:p>
        </w:tc>
        <w:tc>
          <w:tcPr>
            <w:tcW w:w="2325" w:type="dxa"/>
            <w:vAlign w:val="center"/>
          </w:tcPr>
          <w:p>
            <w:pPr>
              <w:jc w:val="center"/>
              <w:rPr>
                <w:rFonts w:ascii="仿宋_GB2312" w:hAnsi="仿宋_GB2312" w:eastAsia="仿宋_GB2312" w:cs="仿宋_GB2312"/>
                <w:color w:val="000000"/>
                <w:sz w:val="21"/>
                <w:szCs w:val="21"/>
              </w:rPr>
            </w:pPr>
          </w:p>
        </w:tc>
        <w:tc>
          <w:tcPr>
            <w:tcW w:w="706" w:type="dxa"/>
            <w:vAlign w:val="center"/>
          </w:tcPr>
          <w:p>
            <w:pPr>
              <w:jc w:val="left"/>
              <w:rPr>
                <w:rFonts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exact"/>
        </w:trPr>
        <w:tc>
          <w:tcPr>
            <w:tcW w:w="508" w:type="dxa"/>
            <w:vMerge w:val="restart"/>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6</w:t>
            </w:r>
          </w:p>
        </w:tc>
        <w:tc>
          <w:tcPr>
            <w:tcW w:w="1368" w:type="dxa"/>
            <w:vMerge w:val="restart"/>
            <w:vAlign w:val="center"/>
          </w:tcPr>
          <w:p>
            <w:pPr>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会计学院</w:t>
            </w:r>
          </w:p>
          <w:p>
            <w:pPr>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（共</w:t>
            </w:r>
            <w:r>
              <w:rPr>
                <w:rFonts w:hint="eastAsia" w:ascii="仿宋_GB2312" w:hAnsi="仿宋_GB2312" w:eastAsia="仿宋_GB2312" w:cs="仿宋_GB2312"/>
                <w:color w:val="000000"/>
                <w:sz w:val="21"/>
                <w:szCs w:val="21"/>
                <w:lang w:val="en-US" w:eastAsia="zh-CN"/>
              </w:rPr>
              <w:t>5</w:t>
            </w:r>
            <w:r>
              <w:rPr>
                <w:rFonts w:hint="eastAsia" w:ascii="仿宋_GB2312" w:hAnsi="仿宋_GB2312" w:eastAsia="仿宋_GB2312" w:cs="仿宋_GB2312"/>
                <w:color w:val="000000"/>
                <w:sz w:val="21"/>
                <w:szCs w:val="21"/>
              </w:rPr>
              <w:t>人）</w:t>
            </w:r>
          </w:p>
        </w:tc>
        <w:tc>
          <w:tcPr>
            <w:tcW w:w="1505" w:type="dxa"/>
            <w:vAlign w:val="center"/>
          </w:tcPr>
          <w:p>
            <w:pPr>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会计教学辅助</w:t>
            </w:r>
          </w:p>
        </w:tc>
        <w:tc>
          <w:tcPr>
            <w:tcW w:w="3910" w:type="dxa"/>
            <w:vAlign w:val="center"/>
          </w:tcPr>
          <w:p>
            <w:pP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会计学、企业管理、经济学、财政学（含：税收）及相近专业</w:t>
            </w:r>
          </w:p>
        </w:tc>
        <w:tc>
          <w:tcPr>
            <w:tcW w:w="709" w:type="dxa"/>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2</w:t>
            </w:r>
          </w:p>
        </w:tc>
        <w:tc>
          <w:tcPr>
            <w:tcW w:w="1399" w:type="dxa"/>
            <w:vAlign w:val="center"/>
          </w:tcPr>
          <w:p>
            <w:pPr>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普通全日制研究生</w:t>
            </w:r>
          </w:p>
        </w:tc>
        <w:tc>
          <w:tcPr>
            <w:tcW w:w="1744" w:type="dxa"/>
            <w:vAlign w:val="center"/>
          </w:tcPr>
          <w:p>
            <w:pPr>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硕士及以上</w:t>
            </w:r>
          </w:p>
        </w:tc>
        <w:tc>
          <w:tcPr>
            <w:tcW w:w="2325" w:type="dxa"/>
            <w:vAlign w:val="center"/>
          </w:tcPr>
          <w:p>
            <w:pP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本科专业为会计、财务管理、统计、审计及相近专业</w:t>
            </w:r>
          </w:p>
        </w:tc>
        <w:tc>
          <w:tcPr>
            <w:tcW w:w="706" w:type="dxa"/>
            <w:vAlign w:val="center"/>
          </w:tcPr>
          <w:p>
            <w:pPr>
              <w:jc w:val="center"/>
              <w:rPr>
                <w:rFonts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exact"/>
        </w:trPr>
        <w:tc>
          <w:tcPr>
            <w:tcW w:w="508" w:type="dxa"/>
            <w:vMerge w:val="continue"/>
            <w:vAlign w:val="center"/>
          </w:tcPr>
          <w:p>
            <w:pPr>
              <w:jc w:val="center"/>
              <w:rPr>
                <w:rFonts w:ascii="仿宋_GB2312" w:hAnsi="仿宋_GB2312" w:eastAsia="仿宋_GB2312" w:cs="仿宋_GB2312"/>
                <w:color w:val="000000"/>
                <w:sz w:val="21"/>
                <w:szCs w:val="21"/>
              </w:rPr>
            </w:pPr>
          </w:p>
        </w:tc>
        <w:tc>
          <w:tcPr>
            <w:tcW w:w="1368" w:type="dxa"/>
            <w:vMerge w:val="continue"/>
            <w:vAlign w:val="center"/>
          </w:tcPr>
          <w:p>
            <w:pPr>
              <w:jc w:val="center"/>
              <w:rPr>
                <w:rFonts w:ascii="仿宋_GB2312" w:hAnsi="仿宋_GB2312" w:eastAsia="仿宋_GB2312" w:cs="仿宋_GB2312"/>
                <w:color w:val="000000"/>
                <w:sz w:val="21"/>
                <w:szCs w:val="21"/>
              </w:rPr>
            </w:pPr>
          </w:p>
        </w:tc>
        <w:tc>
          <w:tcPr>
            <w:tcW w:w="1505" w:type="dxa"/>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rPr>
              <w:t>财务管理教学</w:t>
            </w:r>
            <w:r>
              <w:rPr>
                <w:rFonts w:hint="eastAsia" w:ascii="仿宋_GB2312" w:hAnsi="仿宋_GB2312" w:eastAsia="仿宋_GB2312" w:cs="仿宋_GB2312"/>
                <w:color w:val="000000"/>
                <w:sz w:val="21"/>
                <w:szCs w:val="21"/>
                <w:lang w:eastAsia="zh-CN"/>
              </w:rPr>
              <w:t>辅助</w:t>
            </w:r>
          </w:p>
        </w:tc>
        <w:tc>
          <w:tcPr>
            <w:tcW w:w="3910" w:type="dxa"/>
            <w:vAlign w:val="center"/>
          </w:tcPr>
          <w:p>
            <w:pP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会计学、企业管理、经济学、财政学（含：税收）及相近专业</w:t>
            </w:r>
          </w:p>
        </w:tc>
        <w:tc>
          <w:tcPr>
            <w:tcW w:w="709" w:type="dxa"/>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2</w:t>
            </w:r>
          </w:p>
        </w:tc>
        <w:tc>
          <w:tcPr>
            <w:tcW w:w="1399" w:type="dxa"/>
            <w:vAlign w:val="center"/>
          </w:tcPr>
          <w:p>
            <w:pPr>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普通全日制研究生</w:t>
            </w:r>
          </w:p>
        </w:tc>
        <w:tc>
          <w:tcPr>
            <w:tcW w:w="1744" w:type="dxa"/>
            <w:vAlign w:val="center"/>
          </w:tcPr>
          <w:p>
            <w:pPr>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硕士及以上</w:t>
            </w:r>
          </w:p>
        </w:tc>
        <w:tc>
          <w:tcPr>
            <w:tcW w:w="2325" w:type="dxa"/>
            <w:vAlign w:val="center"/>
          </w:tcPr>
          <w:p>
            <w:pP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本科专业为金融管理及相近专业</w:t>
            </w:r>
          </w:p>
        </w:tc>
        <w:tc>
          <w:tcPr>
            <w:tcW w:w="706" w:type="dxa"/>
            <w:vAlign w:val="center"/>
          </w:tcPr>
          <w:p>
            <w:pPr>
              <w:jc w:val="center"/>
              <w:rPr>
                <w:rFonts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exact"/>
        </w:trPr>
        <w:tc>
          <w:tcPr>
            <w:tcW w:w="508" w:type="dxa"/>
            <w:vMerge w:val="continue"/>
            <w:vAlign w:val="center"/>
          </w:tcPr>
          <w:p>
            <w:pPr>
              <w:jc w:val="center"/>
              <w:rPr>
                <w:rFonts w:ascii="仿宋_GB2312" w:hAnsi="仿宋_GB2312" w:eastAsia="仿宋_GB2312" w:cs="仿宋_GB2312"/>
                <w:color w:val="000000"/>
                <w:sz w:val="21"/>
                <w:szCs w:val="21"/>
              </w:rPr>
            </w:pPr>
          </w:p>
        </w:tc>
        <w:tc>
          <w:tcPr>
            <w:tcW w:w="1368" w:type="dxa"/>
            <w:vMerge w:val="continue"/>
            <w:vAlign w:val="center"/>
          </w:tcPr>
          <w:p>
            <w:pPr>
              <w:jc w:val="center"/>
              <w:rPr>
                <w:rFonts w:ascii="仿宋_GB2312" w:hAnsi="仿宋_GB2312" w:eastAsia="仿宋_GB2312" w:cs="仿宋_GB2312"/>
                <w:color w:val="000000"/>
                <w:sz w:val="21"/>
                <w:szCs w:val="21"/>
              </w:rPr>
            </w:pPr>
          </w:p>
        </w:tc>
        <w:tc>
          <w:tcPr>
            <w:tcW w:w="1505" w:type="dxa"/>
            <w:vAlign w:val="center"/>
          </w:tcPr>
          <w:p>
            <w:pPr>
              <w:jc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金融管理</w:t>
            </w:r>
            <w:r>
              <w:rPr>
                <w:rFonts w:hint="eastAsia" w:ascii="仿宋_GB2312" w:hAnsi="仿宋_GB2312" w:eastAsia="仿宋_GB2312" w:cs="仿宋_GB2312"/>
                <w:color w:val="000000"/>
                <w:sz w:val="21"/>
                <w:szCs w:val="21"/>
                <w:lang w:eastAsia="zh-CN"/>
              </w:rPr>
              <w:t>教学辅助</w:t>
            </w:r>
          </w:p>
        </w:tc>
        <w:tc>
          <w:tcPr>
            <w:tcW w:w="3910" w:type="dxa"/>
            <w:vAlign w:val="center"/>
          </w:tcPr>
          <w:p>
            <w:pPr>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金融学及相近专业</w:t>
            </w:r>
          </w:p>
        </w:tc>
        <w:tc>
          <w:tcPr>
            <w:tcW w:w="709" w:type="dxa"/>
            <w:vAlign w:val="center"/>
          </w:tcPr>
          <w:p>
            <w:pPr>
              <w:jc w:val="center"/>
              <w:rPr>
                <w:rFonts w:ascii="仿宋_GB2312" w:hAnsi="仿宋_GB2312" w:eastAsia="仿宋_GB2312" w:cs="仿宋_GB2312"/>
                <w:color w:val="000000"/>
                <w:sz w:val="21"/>
                <w:szCs w:val="21"/>
              </w:rPr>
            </w:pPr>
            <w:r>
              <w:rPr>
                <w:rFonts w:ascii="仿宋_GB2312" w:hAnsi="仿宋_GB2312" w:eastAsia="仿宋_GB2312" w:cs="仿宋_GB2312"/>
                <w:color w:val="000000"/>
                <w:sz w:val="21"/>
                <w:szCs w:val="21"/>
              </w:rPr>
              <w:t>1</w:t>
            </w:r>
          </w:p>
        </w:tc>
        <w:tc>
          <w:tcPr>
            <w:tcW w:w="1399" w:type="dxa"/>
            <w:vAlign w:val="center"/>
          </w:tcPr>
          <w:p>
            <w:pPr>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普通全日制研究生</w:t>
            </w:r>
          </w:p>
        </w:tc>
        <w:tc>
          <w:tcPr>
            <w:tcW w:w="1744" w:type="dxa"/>
            <w:vAlign w:val="center"/>
          </w:tcPr>
          <w:p>
            <w:pPr>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硕士及以上</w:t>
            </w:r>
          </w:p>
        </w:tc>
        <w:tc>
          <w:tcPr>
            <w:tcW w:w="2325" w:type="dxa"/>
            <w:vAlign w:val="center"/>
          </w:tcPr>
          <w:p>
            <w:pPr>
              <w:rPr>
                <w:rFonts w:ascii="仿宋_GB2312" w:hAnsi="仿宋_GB2312" w:eastAsia="仿宋_GB2312" w:cs="仿宋_GB2312"/>
                <w:color w:val="000000"/>
                <w:sz w:val="21"/>
                <w:szCs w:val="21"/>
              </w:rPr>
            </w:pPr>
          </w:p>
        </w:tc>
        <w:tc>
          <w:tcPr>
            <w:tcW w:w="706" w:type="dxa"/>
            <w:vAlign w:val="center"/>
          </w:tcPr>
          <w:p>
            <w:pPr>
              <w:jc w:val="center"/>
              <w:rPr>
                <w:rFonts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exact"/>
        </w:trPr>
        <w:tc>
          <w:tcPr>
            <w:tcW w:w="508" w:type="dxa"/>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7</w:t>
            </w:r>
          </w:p>
        </w:tc>
        <w:tc>
          <w:tcPr>
            <w:tcW w:w="1368" w:type="dxa"/>
            <w:vAlign w:val="center"/>
          </w:tcPr>
          <w:p>
            <w:pPr>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汽车工程学院</w:t>
            </w:r>
          </w:p>
          <w:p>
            <w:pPr>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（共</w:t>
            </w:r>
            <w:r>
              <w:rPr>
                <w:rFonts w:ascii="仿宋_GB2312" w:hAnsi="仿宋_GB2312" w:eastAsia="仿宋_GB2312" w:cs="仿宋_GB2312"/>
                <w:color w:val="000000"/>
                <w:sz w:val="21"/>
                <w:szCs w:val="21"/>
              </w:rPr>
              <w:t>2</w:t>
            </w:r>
            <w:r>
              <w:rPr>
                <w:rFonts w:hint="eastAsia" w:ascii="仿宋_GB2312" w:hAnsi="仿宋_GB2312" w:eastAsia="仿宋_GB2312" w:cs="仿宋_GB2312"/>
                <w:color w:val="000000"/>
                <w:sz w:val="21"/>
                <w:szCs w:val="21"/>
              </w:rPr>
              <w:t>人）</w:t>
            </w:r>
          </w:p>
        </w:tc>
        <w:tc>
          <w:tcPr>
            <w:tcW w:w="1505" w:type="dxa"/>
            <w:vAlign w:val="center"/>
          </w:tcPr>
          <w:p>
            <w:pPr>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新能源汽车技术教学辅助</w:t>
            </w:r>
          </w:p>
        </w:tc>
        <w:tc>
          <w:tcPr>
            <w:tcW w:w="3910" w:type="dxa"/>
            <w:vAlign w:val="center"/>
          </w:tcPr>
          <w:p>
            <w:pP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车辆工程、载运工具运用工程、交通运输工程及相近专业</w:t>
            </w:r>
          </w:p>
        </w:tc>
        <w:tc>
          <w:tcPr>
            <w:tcW w:w="709" w:type="dxa"/>
            <w:vAlign w:val="center"/>
          </w:tcPr>
          <w:p>
            <w:pPr>
              <w:jc w:val="center"/>
              <w:rPr>
                <w:rFonts w:ascii="仿宋_GB2312" w:hAnsi="仿宋_GB2312" w:eastAsia="仿宋_GB2312" w:cs="仿宋_GB2312"/>
                <w:color w:val="000000"/>
                <w:sz w:val="21"/>
                <w:szCs w:val="21"/>
              </w:rPr>
            </w:pPr>
            <w:r>
              <w:rPr>
                <w:rFonts w:ascii="仿宋_GB2312" w:hAnsi="仿宋_GB2312" w:eastAsia="仿宋_GB2312" w:cs="仿宋_GB2312"/>
                <w:color w:val="000000"/>
                <w:sz w:val="21"/>
                <w:szCs w:val="21"/>
              </w:rPr>
              <w:t>2</w:t>
            </w:r>
          </w:p>
        </w:tc>
        <w:tc>
          <w:tcPr>
            <w:tcW w:w="1399" w:type="dxa"/>
            <w:vAlign w:val="center"/>
          </w:tcPr>
          <w:p>
            <w:pPr>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普通全日制研究生</w:t>
            </w:r>
          </w:p>
        </w:tc>
        <w:tc>
          <w:tcPr>
            <w:tcW w:w="1744" w:type="dxa"/>
            <w:vAlign w:val="center"/>
          </w:tcPr>
          <w:p>
            <w:pPr>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硕士及以上</w:t>
            </w:r>
          </w:p>
        </w:tc>
        <w:tc>
          <w:tcPr>
            <w:tcW w:w="2325" w:type="dxa"/>
            <w:vAlign w:val="center"/>
          </w:tcPr>
          <w:p>
            <w:pPr>
              <w:rPr>
                <w:rFonts w:ascii="仿宋_GB2312" w:hAnsi="仿宋_GB2312" w:eastAsia="仿宋_GB2312" w:cs="仿宋_GB2312"/>
                <w:color w:val="000000"/>
                <w:sz w:val="21"/>
                <w:szCs w:val="21"/>
              </w:rPr>
            </w:pPr>
          </w:p>
        </w:tc>
        <w:tc>
          <w:tcPr>
            <w:tcW w:w="706" w:type="dxa"/>
            <w:vAlign w:val="center"/>
          </w:tcPr>
          <w:p>
            <w:pPr>
              <w:jc w:val="center"/>
              <w:rPr>
                <w:rFonts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exact"/>
        </w:trPr>
        <w:tc>
          <w:tcPr>
            <w:tcW w:w="508" w:type="dxa"/>
            <w:vMerge w:val="restart"/>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8</w:t>
            </w:r>
          </w:p>
        </w:tc>
        <w:tc>
          <w:tcPr>
            <w:tcW w:w="1368" w:type="dxa"/>
            <w:vMerge w:val="restart"/>
            <w:vAlign w:val="center"/>
          </w:tcPr>
          <w:p>
            <w:pPr>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教师教育学院</w:t>
            </w:r>
          </w:p>
          <w:p>
            <w:pPr>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（共</w:t>
            </w:r>
            <w:r>
              <w:rPr>
                <w:rFonts w:ascii="仿宋_GB2312" w:hAnsi="仿宋_GB2312" w:eastAsia="仿宋_GB2312" w:cs="仿宋_GB2312"/>
                <w:color w:val="000000"/>
                <w:sz w:val="21"/>
                <w:szCs w:val="21"/>
              </w:rPr>
              <w:t>8</w:t>
            </w:r>
            <w:r>
              <w:rPr>
                <w:rFonts w:hint="eastAsia" w:ascii="仿宋_GB2312" w:hAnsi="仿宋_GB2312" w:eastAsia="仿宋_GB2312" w:cs="仿宋_GB2312"/>
                <w:color w:val="000000"/>
                <w:sz w:val="21"/>
                <w:szCs w:val="21"/>
              </w:rPr>
              <w:t>人）</w:t>
            </w:r>
          </w:p>
        </w:tc>
        <w:tc>
          <w:tcPr>
            <w:tcW w:w="1505" w:type="dxa"/>
            <w:vAlign w:val="center"/>
          </w:tcPr>
          <w:p>
            <w:pPr>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学前教育教学辅助</w:t>
            </w:r>
          </w:p>
        </w:tc>
        <w:tc>
          <w:tcPr>
            <w:tcW w:w="3910" w:type="dxa"/>
            <w:vAlign w:val="center"/>
          </w:tcPr>
          <w:p>
            <w:pPr>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学前教育（学）、课程与教学论、教育学原理及相近专业</w:t>
            </w:r>
          </w:p>
        </w:tc>
        <w:tc>
          <w:tcPr>
            <w:tcW w:w="709" w:type="dxa"/>
            <w:vAlign w:val="center"/>
          </w:tcPr>
          <w:p>
            <w:pPr>
              <w:jc w:val="center"/>
              <w:rPr>
                <w:rFonts w:ascii="仿宋_GB2312" w:hAnsi="仿宋_GB2312" w:eastAsia="仿宋_GB2312" w:cs="仿宋_GB2312"/>
                <w:color w:val="000000"/>
                <w:sz w:val="21"/>
                <w:szCs w:val="21"/>
              </w:rPr>
            </w:pPr>
            <w:r>
              <w:rPr>
                <w:rFonts w:ascii="仿宋_GB2312" w:hAnsi="仿宋_GB2312" w:eastAsia="仿宋_GB2312" w:cs="仿宋_GB2312"/>
                <w:color w:val="000000"/>
                <w:sz w:val="21"/>
                <w:szCs w:val="21"/>
              </w:rPr>
              <w:t>2</w:t>
            </w:r>
          </w:p>
        </w:tc>
        <w:tc>
          <w:tcPr>
            <w:tcW w:w="1399" w:type="dxa"/>
            <w:vAlign w:val="center"/>
          </w:tcPr>
          <w:p>
            <w:pPr>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普通全日制研究生</w:t>
            </w:r>
          </w:p>
        </w:tc>
        <w:tc>
          <w:tcPr>
            <w:tcW w:w="1744" w:type="dxa"/>
            <w:vAlign w:val="center"/>
          </w:tcPr>
          <w:p>
            <w:pPr>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硕士及以上</w:t>
            </w:r>
          </w:p>
        </w:tc>
        <w:tc>
          <w:tcPr>
            <w:tcW w:w="2325" w:type="dxa"/>
            <w:vAlign w:val="center"/>
          </w:tcPr>
          <w:p>
            <w:pPr>
              <w:jc w:val="center"/>
              <w:rPr>
                <w:rFonts w:ascii="仿宋_GB2312" w:hAnsi="仿宋_GB2312" w:eastAsia="仿宋_GB2312" w:cs="仿宋_GB2312"/>
                <w:color w:val="000000"/>
                <w:sz w:val="21"/>
                <w:szCs w:val="21"/>
              </w:rPr>
            </w:pPr>
          </w:p>
        </w:tc>
        <w:tc>
          <w:tcPr>
            <w:tcW w:w="706" w:type="dxa"/>
            <w:vAlign w:val="center"/>
          </w:tcPr>
          <w:p>
            <w:pPr>
              <w:jc w:val="center"/>
              <w:rPr>
                <w:rFonts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exact"/>
        </w:trPr>
        <w:tc>
          <w:tcPr>
            <w:tcW w:w="508" w:type="dxa"/>
            <w:vMerge w:val="continue"/>
            <w:vAlign w:val="center"/>
          </w:tcPr>
          <w:p>
            <w:pPr>
              <w:jc w:val="center"/>
              <w:rPr>
                <w:rFonts w:ascii="仿宋_GB2312" w:hAnsi="仿宋_GB2312" w:eastAsia="仿宋_GB2312" w:cs="仿宋_GB2312"/>
                <w:color w:val="000000"/>
                <w:sz w:val="21"/>
                <w:szCs w:val="21"/>
              </w:rPr>
            </w:pPr>
          </w:p>
        </w:tc>
        <w:tc>
          <w:tcPr>
            <w:tcW w:w="1368" w:type="dxa"/>
            <w:vMerge w:val="continue"/>
            <w:vAlign w:val="center"/>
          </w:tcPr>
          <w:p>
            <w:pPr>
              <w:jc w:val="center"/>
              <w:rPr>
                <w:rFonts w:ascii="仿宋_GB2312" w:hAnsi="仿宋_GB2312" w:eastAsia="仿宋_GB2312" w:cs="仿宋_GB2312"/>
                <w:color w:val="000000"/>
                <w:sz w:val="21"/>
                <w:szCs w:val="21"/>
              </w:rPr>
            </w:pPr>
          </w:p>
        </w:tc>
        <w:tc>
          <w:tcPr>
            <w:tcW w:w="1505" w:type="dxa"/>
            <w:vAlign w:val="center"/>
          </w:tcPr>
          <w:p>
            <w:pPr>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美术教学辅助</w:t>
            </w:r>
          </w:p>
        </w:tc>
        <w:tc>
          <w:tcPr>
            <w:tcW w:w="3910" w:type="dxa"/>
            <w:vAlign w:val="center"/>
          </w:tcPr>
          <w:p>
            <w:pPr>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美术学及相近专业</w:t>
            </w:r>
          </w:p>
        </w:tc>
        <w:tc>
          <w:tcPr>
            <w:tcW w:w="709" w:type="dxa"/>
            <w:vAlign w:val="center"/>
          </w:tcPr>
          <w:p>
            <w:pPr>
              <w:jc w:val="center"/>
              <w:rPr>
                <w:rFonts w:ascii="仿宋_GB2312" w:hAnsi="仿宋_GB2312" w:eastAsia="仿宋_GB2312" w:cs="仿宋_GB2312"/>
                <w:color w:val="000000"/>
                <w:sz w:val="21"/>
                <w:szCs w:val="21"/>
              </w:rPr>
            </w:pPr>
            <w:r>
              <w:rPr>
                <w:rFonts w:ascii="仿宋_GB2312" w:hAnsi="仿宋_GB2312" w:eastAsia="仿宋_GB2312" w:cs="仿宋_GB2312"/>
                <w:color w:val="000000"/>
                <w:sz w:val="21"/>
                <w:szCs w:val="21"/>
              </w:rPr>
              <w:t>1</w:t>
            </w:r>
          </w:p>
        </w:tc>
        <w:tc>
          <w:tcPr>
            <w:tcW w:w="1399" w:type="dxa"/>
            <w:vAlign w:val="center"/>
          </w:tcPr>
          <w:p>
            <w:pPr>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普通全日制研究生</w:t>
            </w:r>
          </w:p>
        </w:tc>
        <w:tc>
          <w:tcPr>
            <w:tcW w:w="1744" w:type="dxa"/>
            <w:vAlign w:val="center"/>
          </w:tcPr>
          <w:p>
            <w:pPr>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硕士及以上</w:t>
            </w:r>
          </w:p>
        </w:tc>
        <w:tc>
          <w:tcPr>
            <w:tcW w:w="2325" w:type="dxa"/>
            <w:vAlign w:val="center"/>
          </w:tcPr>
          <w:p>
            <w:pPr>
              <w:jc w:val="center"/>
              <w:rPr>
                <w:rFonts w:ascii="仿宋_GB2312" w:hAnsi="仿宋_GB2312" w:eastAsia="仿宋_GB2312" w:cs="仿宋_GB2312"/>
                <w:color w:val="000000"/>
                <w:sz w:val="21"/>
                <w:szCs w:val="21"/>
              </w:rPr>
            </w:pPr>
          </w:p>
        </w:tc>
        <w:tc>
          <w:tcPr>
            <w:tcW w:w="706" w:type="dxa"/>
            <w:vAlign w:val="center"/>
          </w:tcPr>
          <w:p>
            <w:pPr>
              <w:jc w:val="center"/>
              <w:rPr>
                <w:rFonts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exact"/>
        </w:trPr>
        <w:tc>
          <w:tcPr>
            <w:tcW w:w="508" w:type="dxa"/>
            <w:vMerge w:val="continue"/>
            <w:vAlign w:val="center"/>
          </w:tcPr>
          <w:p>
            <w:pPr>
              <w:jc w:val="center"/>
              <w:rPr>
                <w:rFonts w:ascii="仿宋_GB2312" w:hAnsi="仿宋_GB2312" w:eastAsia="仿宋_GB2312" w:cs="仿宋_GB2312"/>
                <w:color w:val="000000"/>
                <w:sz w:val="21"/>
                <w:szCs w:val="21"/>
              </w:rPr>
            </w:pPr>
          </w:p>
        </w:tc>
        <w:tc>
          <w:tcPr>
            <w:tcW w:w="1368" w:type="dxa"/>
            <w:vMerge w:val="continue"/>
            <w:vAlign w:val="center"/>
          </w:tcPr>
          <w:p>
            <w:pPr>
              <w:jc w:val="center"/>
              <w:rPr>
                <w:rFonts w:ascii="仿宋_GB2312" w:hAnsi="仿宋_GB2312" w:eastAsia="仿宋_GB2312" w:cs="仿宋_GB2312"/>
                <w:color w:val="000000"/>
                <w:sz w:val="21"/>
                <w:szCs w:val="21"/>
              </w:rPr>
            </w:pPr>
          </w:p>
        </w:tc>
        <w:tc>
          <w:tcPr>
            <w:tcW w:w="1505" w:type="dxa"/>
            <w:vAlign w:val="center"/>
          </w:tcPr>
          <w:p>
            <w:pPr>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舞蹈教学辅助</w:t>
            </w:r>
          </w:p>
        </w:tc>
        <w:tc>
          <w:tcPr>
            <w:tcW w:w="3910" w:type="dxa"/>
            <w:vAlign w:val="center"/>
          </w:tcPr>
          <w:p>
            <w:pPr>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舞蹈学及相近专业</w:t>
            </w:r>
          </w:p>
        </w:tc>
        <w:tc>
          <w:tcPr>
            <w:tcW w:w="709" w:type="dxa"/>
            <w:vAlign w:val="center"/>
          </w:tcPr>
          <w:p>
            <w:pPr>
              <w:jc w:val="center"/>
              <w:rPr>
                <w:rFonts w:ascii="仿宋_GB2312" w:hAnsi="仿宋_GB2312" w:eastAsia="仿宋_GB2312" w:cs="仿宋_GB2312"/>
                <w:color w:val="000000"/>
                <w:sz w:val="21"/>
                <w:szCs w:val="21"/>
              </w:rPr>
            </w:pPr>
            <w:r>
              <w:rPr>
                <w:rFonts w:ascii="仿宋_GB2312" w:hAnsi="仿宋_GB2312" w:eastAsia="仿宋_GB2312" w:cs="仿宋_GB2312"/>
                <w:color w:val="000000"/>
                <w:sz w:val="21"/>
                <w:szCs w:val="21"/>
              </w:rPr>
              <w:t>2</w:t>
            </w:r>
          </w:p>
        </w:tc>
        <w:tc>
          <w:tcPr>
            <w:tcW w:w="1399" w:type="dxa"/>
            <w:vAlign w:val="center"/>
          </w:tcPr>
          <w:p>
            <w:pPr>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普通全日制研究生</w:t>
            </w:r>
          </w:p>
        </w:tc>
        <w:tc>
          <w:tcPr>
            <w:tcW w:w="1744" w:type="dxa"/>
            <w:vAlign w:val="center"/>
          </w:tcPr>
          <w:p>
            <w:pPr>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硕士及以上</w:t>
            </w:r>
          </w:p>
        </w:tc>
        <w:tc>
          <w:tcPr>
            <w:tcW w:w="2325" w:type="dxa"/>
            <w:vAlign w:val="center"/>
          </w:tcPr>
          <w:p>
            <w:pPr>
              <w:jc w:val="center"/>
              <w:rPr>
                <w:rFonts w:ascii="仿宋_GB2312" w:hAnsi="仿宋_GB2312" w:eastAsia="仿宋_GB2312" w:cs="仿宋_GB2312"/>
                <w:color w:val="000000"/>
                <w:sz w:val="21"/>
                <w:szCs w:val="21"/>
              </w:rPr>
            </w:pPr>
          </w:p>
        </w:tc>
        <w:tc>
          <w:tcPr>
            <w:tcW w:w="706" w:type="dxa"/>
            <w:vAlign w:val="center"/>
          </w:tcPr>
          <w:p>
            <w:pPr>
              <w:jc w:val="center"/>
              <w:rPr>
                <w:rFonts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exact"/>
        </w:trPr>
        <w:tc>
          <w:tcPr>
            <w:tcW w:w="508" w:type="dxa"/>
            <w:vMerge w:val="continue"/>
            <w:vAlign w:val="center"/>
          </w:tcPr>
          <w:p>
            <w:pPr>
              <w:jc w:val="center"/>
              <w:rPr>
                <w:rFonts w:ascii="仿宋_GB2312" w:hAnsi="仿宋_GB2312" w:eastAsia="仿宋_GB2312" w:cs="仿宋_GB2312"/>
                <w:color w:val="000000"/>
                <w:sz w:val="21"/>
                <w:szCs w:val="21"/>
              </w:rPr>
            </w:pPr>
          </w:p>
        </w:tc>
        <w:tc>
          <w:tcPr>
            <w:tcW w:w="1368" w:type="dxa"/>
            <w:vMerge w:val="continue"/>
            <w:vAlign w:val="center"/>
          </w:tcPr>
          <w:p>
            <w:pPr>
              <w:jc w:val="center"/>
              <w:rPr>
                <w:rFonts w:ascii="仿宋_GB2312" w:hAnsi="仿宋_GB2312" w:eastAsia="仿宋_GB2312" w:cs="仿宋_GB2312"/>
                <w:color w:val="000000"/>
                <w:sz w:val="21"/>
                <w:szCs w:val="21"/>
              </w:rPr>
            </w:pPr>
          </w:p>
        </w:tc>
        <w:tc>
          <w:tcPr>
            <w:tcW w:w="1505" w:type="dxa"/>
            <w:vAlign w:val="center"/>
          </w:tcPr>
          <w:p>
            <w:pPr>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音乐教学辅助</w:t>
            </w:r>
          </w:p>
        </w:tc>
        <w:tc>
          <w:tcPr>
            <w:tcW w:w="3910" w:type="dxa"/>
            <w:vAlign w:val="center"/>
          </w:tcPr>
          <w:p>
            <w:pPr>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音乐学、音乐及相近专业</w:t>
            </w:r>
          </w:p>
        </w:tc>
        <w:tc>
          <w:tcPr>
            <w:tcW w:w="709" w:type="dxa"/>
            <w:vAlign w:val="center"/>
          </w:tcPr>
          <w:p>
            <w:pPr>
              <w:jc w:val="center"/>
              <w:rPr>
                <w:rFonts w:ascii="仿宋_GB2312" w:hAnsi="仿宋_GB2312" w:eastAsia="仿宋_GB2312" w:cs="仿宋_GB2312"/>
                <w:color w:val="000000"/>
                <w:sz w:val="21"/>
                <w:szCs w:val="21"/>
              </w:rPr>
            </w:pPr>
            <w:r>
              <w:rPr>
                <w:rFonts w:ascii="仿宋_GB2312" w:hAnsi="仿宋_GB2312" w:eastAsia="仿宋_GB2312" w:cs="仿宋_GB2312"/>
                <w:color w:val="000000"/>
                <w:sz w:val="21"/>
                <w:szCs w:val="21"/>
              </w:rPr>
              <w:t>2</w:t>
            </w:r>
          </w:p>
        </w:tc>
        <w:tc>
          <w:tcPr>
            <w:tcW w:w="1399" w:type="dxa"/>
            <w:vAlign w:val="center"/>
          </w:tcPr>
          <w:p>
            <w:pPr>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普通全日制研究生</w:t>
            </w:r>
          </w:p>
        </w:tc>
        <w:tc>
          <w:tcPr>
            <w:tcW w:w="1744" w:type="dxa"/>
            <w:vAlign w:val="center"/>
          </w:tcPr>
          <w:p>
            <w:pPr>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硕士及以上</w:t>
            </w:r>
          </w:p>
        </w:tc>
        <w:tc>
          <w:tcPr>
            <w:tcW w:w="2325" w:type="dxa"/>
            <w:vAlign w:val="center"/>
          </w:tcPr>
          <w:p>
            <w:pPr>
              <w:rPr>
                <w:rFonts w:ascii="仿宋_GB2312" w:hAnsi="仿宋_GB2312" w:eastAsia="仿宋_GB2312" w:cs="仿宋_GB2312"/>
                <w:color w:val="000000"/>
                <w:sz w:val="21"/>
                <w:szCs w:val="21"/>
              </w:rPr>
            </w:pPr>
          </w:p>
        </w:tc>
        <w:tc>
          <w:tcPr>
            <w:tcW w:w="706" w:type="dxa"/>
            <w:vAlign w:val="center"/>
          </w:tcPr>
          <w:p>
            <w:pPr>
              <w:jc w:val="center"/>
              <w:rPr>
                <w:rFonts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exact"/>
        </w:trPr>
        <w:tc>
          <w:tcPr>
            <w:tcW w:w="508" w:type="dxa"/>
            <w:vMerge w:val="continue"/>
            <w:vAlign w:val="center"/>
          </w:tcPr>
          <w:p>
            <w:pPr>
              <w:jc w:val="center"/>
              <w:rPr>
                <w:rFonts w:ascii="仿宋_GB2312" w:hAnsi="仿宋_GB2312" w:eastAsia="仿宋_GB2312" w:cs="仿宋_GB2312"/>
                <w:color w:val="000000"/>
                <w:sz w:val="21"/>
                <w:szCs w:val="21"/>
              </w:rPr>
            </w:pPr>
          </w:p>
        </w:tc>
        <w:tc>
          <w:tcPr>
            <w:tcW w:w="1368" w:type="dxa"/>
            <w:vMerge w:val="continue"/>
            <w:vAlign w:val="center"/>
          </w:tcPr>
          <w:p>
            <w:pPr>
              <w:jc w:val="center"/>
              <w:rPr>
                <w:rFonts w:ascii="仿宋_GB2312" w:hAnsi="仿宋_GB2312" w:eastAsia="仿宋_GB2312" w:cs="仿宋_GB2312"/>
                <w:color w:val="000000"/>
                <w:sz w:val="21"/>
                <w:szCs w:val="21"/>
              </w:rPr>
            </w:pPr>
          </w:p>
        </w:tc>
        <w:tc>
          <w:tcPr>
            <w:tcW w:w="1505" w:type="dxa"/>
            <w:vAlign w:val="center"/>
          </w:tcPr>
          <w:p>
            <w:pPr>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学前保育教学辅助</w:t>
            </w:r>
          </w:p>
        </w:tc>
        <w:tc>
          <w:tcPr>
            <w:tcW w:w="3910" w:type="dxa"/>
            <w:vAlign w:val="center"/>
          </w:tcPr>
          <w:p>
            <w:pPr>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护理学、儿少卫生与妇幼保健学、儿科学及相近专业</w:t>
            </w:r>
          </w:p>
        </w:tc>
        <w:tc>
          <w:tcPr>
            <w:tcW w:w="709" w:type="dxa"/>
            <w:vAlign w:val="center"/>
          </w:tcPr>
          <w:p>
            <w:pPr>
              <w:jc w:val="center"/>
              <w:rPr>
                <w:rFonts w:ascii="仿宋_GB2312" w:hAnsi="仿宋_GB2312" w:eastAsia="仿宋_GB2312" w:cs="仿宋_GB2312"/>
                <w:color w:val="000000"/>
                <w:sz w:val="21"/>
                <w:szCs w:val="21"/>
              </w:rPr>
            </w:pPr>
            <w:r>
              <w:rPr>
                <w:rFonts w:ascii="仿宋_GB2312" w:hAnsi="仿宋_GB2312" w:eastAsia="仿宋_GB2312" w:cs="仿宋_GB2312"/>
                <w:color w:val="000000"/>
                <w:sz w:val="21"/>
                <w:szCs w:val="21"/>
              </w:rPr>
              <w:t>1</w:t>
            </w:r>
          </w:p>
        </w:tc>
        <w:tc>
          <w:tcPr>
            <w:tcW w:w="1399" w:type="dxa"/>
            <w:vAlign w:val="center"/>
          </w:tcPr>
          <w:p>
            <w:pPr>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普通全日制研究生</w:t>
            </w:r>
          </w:p>
        </w:tc>
        <w:tc>
          <w:tcPr>
            <w:tcW w:w="1744" w:type="dxa"/>
            <w:vAlign w:val="center"/>
          </w:tcPr>
          <w:p>
            <w:pPr>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硕士及以上</w:t>
            </w:r>
          </w:p>
        </w:tc>
        <w:tc>
          <w:tcPr>
            <w:tcW w:w="2325" w:type="dxa"/>
            <w:vAlign w:val="center"/>
          </w:tcPr>
          <w:p>
            <w:pPr>
              <w:jc w:val="center"/>
              <w:rPr>
                <w:rFonts w:ascii="仿宋_GB2312" w:hAnsi="仿宋_GB2312" w:eastAsia="仿宋_GB2312" w:cs="仿宋_GB2312"/>
                <w:color w:val="000000"/>
                <w:sz w:val="21"/>
                <w:szCs w:val="21"/>
              </w:rPr>
            </w:pPr>
          </w:p>
        </w:tc>
        <w:tc>
          <w:tcPr>
            <w:tcW w:w="706" w:type="dxa"/>
            <w:vAlign w:val="center"/>
          </w:tcPr>
          <w:p>
            <w:pPr>
              <w:jc w:val="center"/>
              <w:rPr>
                <w:rFonts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exact"/>
        </w:trPr>
        <w:tc>
          <w:tcPr>
            <w:tcW w:w="508" w:type="dxa"/>
            <w:vMerge w:val="restart"/>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9</w:t>
            </w:r>
          </w:p>
        </w:tc>
        <w:tc>
          <w:tcPr>
            <w:tcW w:w="1368" w:type="dxa"/>
            <w:vMerge w:val="restart"/>
            <w:vAlign w:val="center"/>
          </w:tcPr>
          <w:p>
            <w:pPr>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基础教学部</w:t>
            </w:r>
          </w:p>
          <w:p>
            <w:pPr>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（共</w:t>
            </w:r>
            <w:r>
              <w:rPr>
                <w:rFonts w:ascii="仿宋_GB2312" w:hAnsi="仿宋_GB2312" w:eastAsia="仿宋_GB2312" w:cs="仿宋_GB2312"/>
                <w:color w:val="000000"/>
                <w:sz w:val="21"/>
                <w:szCs w:val="21"/>
              </w:rPr>
              <w:t>5</w:t>
            </w:r>
            <w:r>
              <w:rPr>
                <w:rFonts w:hint="eastAsia" w:ascii="仿宋_GB2312" w:hAnsi="仿宋_GB2312" w:eastAsia="仿宋_GB2312" w:cs="仿宋_GB2312"/>
                <w:color w:val="000000"/>
                <w:sz w:val="21"/>
                <w:szCs w:val="21"/>
              </w:rPr>
              <w:t>人）</w:t>
            </w:r>
          </w:p>
        </w:tc>
        <w:tc>
          <w:tcPr>
            <w:tcW w:w="1505" w:type="dxa"/>
            <w:vAlign w:val="center"/>
          </w:tcPr>
          <w:p>
            <w:pPr>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思想政治教学辅助</w:t>
            </w:r>
          </w:p>
        </w:tc>
        <w:tc>
          <w:tcPr>
            <w:tcW w:w="3910" w:type="dxa"/>
            <w:vAlign w:val="center"/>
          </w:tcPr>
          <w:p>
            <w:pPr>
              <w:jc w:val="left"/>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马克思主义基本原理、马克思主义中国化研究、思想政治教育及相近专业</w:t>
            </w:r>
          </w:p>
        </w:tc>
        <w:tc>
          <w:tcPr>
            <w:tcW w:w="709" w:type="dxa"/>
            <w:vAlign w:val="center"/>
          </w:tcPr>
          <w:p>
            <w:pPr>
              <w:jc w:val="center"/>
              <w:rPr>
                <w:rFonts w:ascii="仿宋_GB2312" w:hAnsi="仿宋_GB2312" w:eastAsia="仿宋_GB2312" w:cs="仿宋_GB2312"/>
                <w:color w:val="000000"/>
                <w:sz w:val="21"/>
                <w:szCs w:val="21"/>
              </w:rPr>
            </w:pPr>
            <w:r>
              <w:rPr>
                <w:rFonts w:ascii="仿宋_GB2312" w:hAnsi="仿宋_GB2312" w:eastAsia="仿宋_GB2312" w:cs="仿宋_GB2312"/>
                <w:color w:val="000000"/>
                <w:sz w:val="21"/>
                <w:szCs w:val="21"/>
              </w:rPr>
              <w:t>2</w:t>
            </w:r>
          </w:p>
        </w:tc>
        <w:tc>
          <w:tcPr>
            <w:tcW w:w="1399" w:type="dxa"/>
            <w:vAlign w:val="center"/>
          </w:tcPr>
          <w:p>
            <w:pPr>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普通全日制研究生</w:t>
            </w:r>
          </w:p>
        </w:tc>
        <w:tc>
          <w:tcPr>
            <w:tcW w:w="1744" w:type="dxa"/>
            <w:vAlign w:val="center"/>
          </w:tcPr>
          <w:p>
            <w:pPr>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硕士及以上</w:t>
            </w:r>
          </w:p>
        </w:tc>
        <w:tc>
          <w:tcPr>
            <w:tcW w:w="2325" w:type="dxa"/>
            <w:vAlign w:val="center"/>
          </w:tcPr>
          <w:p>
            <w:pPr>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中共党员</w:t>
            </w:r>
          </w:p>
        </w:tc>
        <w:tc>
          <w:tcPr>
            <w:tcW w:w="706" w:type="dxa"/>
            <w:vAlign w:val="center"/>
          </w:tcPr>
          <w:p>
            <w:pPr>
              <w:jc w:val="center"/>
              <w:rPr>
                <w:rFonts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exact"/>
        </w:trPr>
        <w:tc>
          <w:tcPr>
            <w:tcW w:w="508" w:type="dxa"/>
            <w:vMerge w:val="continue"/>
            <w:vAlign w:val="center"/>
          </w:tcPr>
          <w:p>
            <w:pPr>
              <w:jc w:val="center"/>
              <w:rPr>
                <w:rFonts w:ascii="仿宋_GB2312" w:hAnsi="仿宋_GB2312" w:eastAsia="仿宋_GB2312" w:cs="仿宋_GB2312"/>
                <w:color w:val="000000"/>
                <w:sz w:val="21"/>
                <w:szCs w:val="21"/>
              </w:rPr>
            </w:pPr>
          </w:p>
        </w:tc>
        <w:tc>
          <w:tcPr>
            <w:tcW w:w="1368" w:type="dxa"/>
            <w:vMerge w:val="continue"/>
            <w:vAlign w:val="center"/>
          </w:tcPr>
          <w:p>
            <w:pPr>
              <w:jc w:val="center"/>
              <w:rPr>
                <w:rFonts w:ascii="仿宋_GB2312" w:hAnsi="仿宋_GB2312" w:eastAsia="仿宋_GB2312" w:cs="仿宋_GB2312"/>
                <w:color w:val="000000"/>
                <w:sz w:val="21"/>
                <w:szCs w:val="21"/>
              </w:rPr>
            </w:pPr>
          </w:p>
        </w:tc>
        <w:tc>
          <w:tcPr>
            <w:tcW w:w="1505" w:type="dxa"/>
            <w:vAlign w:val="center"/>
          </w:tcPr>
          <w:p>
            <w:pPr>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职业生涯规划与就业指导教学辅助</w:t>
            </w:r>
          </w:p>
        </w:tc>
        <w:tc>
          <w:tcPr>
            <w:tcW w:w="3910" w:type="dxa"/>
            <w:vAlign w:val="center"/>
          </w:tcPr>
          <w:p>
            <w:pPr>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教育学原理、基础心理学及相近专业</w:t>
            </w:r>
          </w:p>
        </w:tc>
        <w:tc>
          <w:tcPr>
            <w:tcW w:w="709" w:type="dxa"/>
            <w:vAlign w:val="center"/>
          </w:tcPr>
          <w:p>
            <w:pPr>
              <w:jc w:val="center"/>
              <w:rPr>
                <w:rFonts w:ascii="仿宋_GB2312" w:hAnsi="仿宋_GB2312" w:eastAsia="仿宋_GB2312" w:cs="仿宋_GB2312"/>
                <w:color w:val="000000"/>
                <w:sz w:val="21"/>
                <w:szCs w:val="21"/>
              </w:rPr>
            </w:pPr>
            <w:r>
              <w:rPr>
                <w:rFonts w:ascii="仿宋_GB2312" w:hAnsi="仿宋_GB2312" w:eastAsia="仿宋_GB2312" w:cs="仿宋_GB2312"/>
                <w:color w:val="000000"/>
                <w:sz w:val="21"/>
                <w:szCs w:val="21"/>
              </w:rPr>
              <w:t>1</w:t>
            </w:r>
          </w:p>
        </w:tc>
        <w:tc>
          <w:tcPr>
            <w:tcW w:w="1399" w:type="dxa"/>
            <w:vAlign w:val="center"/>
          </w:tcPr>
          <w:p>
            <w:pPr>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普通全日制研究生</w:t>
            </w:r>
          </w:p>
        </w:tc>
        <w:tc>
          <w:tcPr>
            <w:tcW w:w="1744" w:type="dxa"/>
            <w:vAlign w:val="center"/>
          </w:tcPr>
          <w:p>
            <w:pPr>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硕士及以上</w:t>
            </w:r>
          </w:p>
        </w:tc>
        <w:tc>
          <w:tcPr>
            <w:tcW w:w="2325" w:type="dxa"/>
            <w:vAlign w:val="center"/>
          </w:tcPr>
          <w:p>
            <w:pPr>
              <w:jc w:val="center"/>
              <w:rPr>
                <w:rFonts w:ascii="仿宋_GB2312" w:hAnsi="仿宋_GB2312" w:eastAsia="仿宋_GB2312" w:cs="仿宋_GB2312"/>
                <w:color w:val="000000"/>
                <w:sz w:val="21"/>
                <w:szCs w:val="21"/>
              </w:rPr>
            </w:pPr>
          </w:p>
        </w:tc>
        <w:tc>
          <w:tcPr>
            <w:tcW w:w="706" w:type="dxa"/>
            <w:vAlign w:val="center"/>
          </w:tcPr>
          <w:p>
            <w:pPr>
              <w:jc w:val="center"/>
              <w:rPr>
                <w:rFonts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exact"/>
        </w:trPr>
        <w:tc>
          <w:tcPr>
            <w:tcW w:w="508" w:type="dxa"/>
            <w:vMerge w:val="continue"/>
            <w:vAlign w:val="center"/>
          </w:tcPr>
          <w:p>
            <w:pPr>
              <w:jc w:val="center"/>
              <w:rPr>
                <w:rFonts w:ascii="仿宋_GB2312" w:hAnsi="仿宋_GB2312" w:eastAsia="仿宋_GB2312" w:cs="仿宋_GB2312"/>
                <w:color w:val="000000"/>
                <w:sz w:val="21"/>
                <w:szCs w:val="21"/>
              </w:rPr>
            </w:pPr>
          </w:p>
        </w:tc>
        <w:tc>
          <w:tcPr>
            <w:tcW w:w="1368" w:type="dxa"/>
            <w:vMerge w:val="continue"/>
            <w:vAlign w:val="center"/>
          </w:tcPr>
          <w:p>
            <w:pPr>
              <w:jc w:val="center"/>
              <w:rPr>
                <w:rFonts w:ascii="仿宋_GB2312" w:hAnsi="仿宋_GB2312" w:eastAsia="仿宋_GB2312" w:cs="仿宋_GB2312"/>
                <w:color w:val="000000"/>
                <w:sz w:val="21"/>
                <w:szCs w:val="21"/>
              </w:rPr>
            </w:pPr>
          </w:p>
        </w:tc>
        <w:tc>
          <w:tcPr>
            <w:tcW w:w="1505" w:type="dxa"/>
            <w:vAlign w:val="center"/>
          </w:tcPr>
          <w:p>
            <w:pPr>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大学语文教学辅助</w:t>
            </w:r>
          </w:p>
        </w:tc>
        <w:tc>
          <w:tcPr>
            <w:tcW w:w="3910" w:type="dxa"/>
            <w:vAlign w:val="center"/>
          </w:tcPr>
          <w:p>
            <w:pPr>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中国古代文学、中国现当代文学、语言学及应用语言学、汉语言文字学及相近专业</w:t>
            </w:r>
          </w:p>
        </w:tc>
        <w:tc>
          <w:tcPr>
            <w:tcW w:w="709" w:type="dxa"/>
            <w:vAlign w:val="center"/>
          </w:tcPr>
          <w:p>
            <w:pPr>
              <w:jc w:val="center"/>
              <w:rPr>
                <w:rFonts w:ascii="仿宋_GB2312" w:hAnsi="仿宋_GB2312" w:eastAsia="仿宋_GB2312" w:cs="仿宋_GB2312"/>
                <w:color w:val="000000"/>
                <w:sz w:val="21"/>
                <w:szCs w:val="21"/>
              </w:rPr>
            </w:pPr>
            <w:r>
              <w:rPr>
                <w:rFonts w:ascii="仿宋_GB2312" w:hAnsi="仿宋_GB2312" w:eastAsia="仿宋_GB2312" w:cs="仿宋_GB2312"/>
                <w:color w:val="000000"/>
                <w:sz w:val="21"/>
                <w:szCs w:val="21"/>
              </w:rPr>
              <w:t>2</w:t>
            </w:r>
          </w:p>
        </w:tc>
        <w:tc>
          <w:tcPr>
            <w:tcW w:w="1399" w:type="dxa"/>
            <w:vAlign w:val="center"/>
          </w:tcPr>
          <w:p>
            <w:pPr>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普通全日制研究生</w:t>
            </w:r>
          </w:p>
        </w:tc>
        <w:tc>
          <w:tcPr>
            <w:tcW w:w="1744" w:type="dxa"/>
            <w:vAlign w:val="center"/>
          </w:tcPr>
          <w:p>
            <w:pPr>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硕士及以上</w:t>
            </w:r>
          </w:p>
        </w:tc>
        <w:tc>
          <w:tcPr>
            <w:tcW w:w="2325" w:type="dxa"/>
            <w:vAlign w:val="center"/>
          </w:tcPr>
          <w:p>
            <w:pPr>
              <w:jc w:val="center"/>
              <w:rPr>
                <w:rFonts w:ascii="仿宋_GB2312" w:hAnsi="仿宋_GB2312" w:eastAsia="仿宋_GB2312" w:cs="仿宋_GB2312"/>
                <w:color w:val="000000"/>
                <w:sz w:val="21"/>
                <w:szCs w:val="21"/>
              </w:rPr>
            </w:pPr>
          </w:p>
        </w:tc>
        <w:tc>
          <w:tcPr>
            <w:tcW w:w="706" w:type="dxa"/>
            <w:vAlign w:val="center"/>
          </w:tcPr>
          <w:p>
            <w:pPr>
              <w:jc w:val="center"/>
              <w:rPr>
                <w:rFonts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exact"/>
        </w:trPr>
        <w:tc>
          <w:tcPr>
            <w:tcW w:w="508" w:type="dxa"/>
            <w:vMerge w:val="restart"/>
            <w:vAlign w:val="center"/>
          </w:tcPr>
          <w:p>
            <w:pPr>
              <w:jc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10</w:t>
            </w:r>
          </w:p>
        </w:tc>
        <w:tc>
          <w:tcPr>
            <w:tcW w:w="1368" w:type="dxa"/>
            <w:vMerge w:val="restart"/>
            <w:vAlign w:val="center"/>
          </w:tcPr>
          <w:p>
            <w:pPr>
              <w:jc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继续教育学院</w:t>
            </w:r>
          </w:p>
          <w:p>
            <w:pPr>
              <w:jc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（共</w:t>
            </w:r>
            <w:r>
              <w:rPr>
                <w:rFonts w:hint="eastAsia" w:ascii="仿宋_GB2312" w:hAnsi="仿宋_GB2312" w:eastAsia="仿宋_GB2312" w:cs="仿宋_GB2312"/>
                <w:color w:val="000000"/>
                <w:sz w:val="21"/>
                <w:szCs w:val="21"/>
                <w:lang w:val="en-US" w:eastAsia="zh-CN"/>
              </w:rPr>
              <w:t>2人</w:t>
            </w:r>
            <w:r>
              <w:rPr>
                <w:rFonts w:hint="eastAsia" w:ascii="仿宋_GB2312" w:hAnsi="仿宋_GB2312" w:eastAsia="仿宋_GB2312" w:cs="仿宋_GB2312"/>
                <w:color w:val="000000"/>
                <w:sz w:val="21"/>
                <w:szCs w:val="21"/>
                <w:lang w:eastAsia="zh-CN"/>
              </w:rPr>
              <w:t>）</w:t>
            </w:r>
          </w:p>
        </w:tc>
        <w:tc>
          <w:tcPr>
            <w:tcW w:w="1505" w:type="dxa"/>
            <w:vAlign w:val="center"/>
          </w:tcPr>
          <w:p>
            <w:pPr>
              <w:jc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社会管理</w:t>
            </w:r>
          </w:p>
          <w:p>
            <w:pPr>
              <w:jc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教学辅助</w:t>
            </w:r>
          </w:p>
        </w:tc>
        <w:tc>
          <w:tcPr>
            <w:tcW w:w="3910" w:type="dxa"/>
            <w:vAlign w:val="center"/>
          </w:tcPr>
          <w:p>
            <w:pPr>
              <w:jc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社会工作与管理及相关专业</w:t>
            </w:r>
          </w:p>
        </w:tc>
        <w:tc>
          <w:tcPr>
            <w:tcW w:w="709" w:type="dxa"/>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w:t>
            </w:r>
          </w:p>
        </w:tc>
        <w:tc>
          <w:tcPr>
            <w:tcW w:w="1399" w:type="dxa"/>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普通全日制研究生</w:t>
            </w:r>
          </w:p>
        </w:tc>
        <w:tc>
          <w:tcPr>
            <w:tcW w:w="1744" w:type="dxa"/>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硕士及以上</w:t>
            </w:r>
          </w:p>
        </w:tc>
        <w:tc>
          <w:tcPr>
            <w:tcW w:w="2325" w:type="dxa"/>
            <w:vAlign w:val="center"/>
          </w:tcPr>
          <w:p>
            <w:pPr>
              <w:jc w:val="center"/>
              <w:rPr>
                <w:rFonts w:hint="eastAsia" w:ascii="仿宋_GB2312" w:hAnsi="仿宋_GB2312" w:eastAsia="仿宋_GB2312" w:cs="仿宋_GB2312"/>
                <w:color w:val="000000"/>
                <w:sz w:val="21"/>
                <w:szCs w:val="21"/>
                <w:lang w:eastAsia="zh-CN"/>
              </w:rPr>
            </w:pPr>
          </w:p>
        </w:tc>
        <w:tc>
          <w:tcPr>
            <w:tcW w:w="706" w:type="dxa"/>
            <w:vAlign w:val="center"/>
          </w:tcPr>
          <w:p>
            <w:pPr>
              <w:jc w:val="center"/>
              <w:rPr>
                <w:rFonts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6" w:hRule="exact"/>
        </w:trPr>
        <w:tc>
          <w:tcPr>
            <w:tcW w:w="508" w:type="dxa"/>
            <w:vMerge w:val="continue"/>
            <w:vAlign w:val="center"/>
          </w:tcPr>
          <w:p>
            <w:pPr>
              <w:jc w:val="center"/>
              <w:rPr>
                <w:rFonts w:hint="eastAsia" w:ascii="仿宋_GB2312" w:hAnsi="仿宋_GB2312" w:eastAsia="仿宋_GB2312" w:cs="仿宋_GB2312"/>
                <w:color w:val="000000"/>
                <w:sz w:val="21"/>
                <w:szCs w:val="21"/>
                <w:lang w:val="en-US" w:eastAsia="zh-CN"/>
              </w:rPr>
            </w:pPr>
          </w:p>
        </w:tc>
        <w:tc>
          <w:tcPr>
            <w:tcW w:w="1368" w:type="dxa"/>
            <w:vMerge w:val="continue"/>
            <w:vAlign w:val="center"/>
          </w:tcPr>
          <w:p>
            <w:pPr>
              <w:jc w:val="center"/>
              <w:rPr>
                <w:rFonts w:ascii="仿宋_GB2312" w:hAnsi="仿宋_GB2312" w:eastAsia="仿宋_GB2312" w:cs="仿宋_GB2312"/>
                <w:color w:val="000000"/>
                <w:sz w:val="21"/>
                <w:szCs w:val="21"/>
              </w:rPr>
            </w:pPr>
          </w:p>
        </w:tc>
        <w:tc>
          <w:tcPr>
            <w:tcW w:w="1505" w:type="dxa"/>
            <w:vAlign w:val="center"/>
          </w:tcPr>
          <w:p>
            <w:pPr>
              <w:jc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社会管理</w:t>
            </w:r>
          </w:p>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eastAsia="zh-CN"/>
              </w:rPr>
              <w:t>教学辅助</w:t>
            </w:r>
          </w:p>
        </w:tc>
        <w:tc>
          <w:tcPr>
            <w:tcW w:w="3910" w:type="dxa"/>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eastAsia="zh-CN"/>
              </w:rPr>
              <w:t>社会工作与管理及相关专业</w:t>
            </w:r>
          </w:p>
        </w:tc>
        <w:tc>
          <w:tcPr>
            <w:tcW w:w="709" w:type="dxa"/>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w:t>
            </w:r>
          </w:p>
        </w:tc>
        <w:tc>
          <w:tcPr>
            <w:tcW w:w="1399" w:type="dxa"/>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普通全日制研究生</w:t>
            </w:r>
          </w:p>
        </w:tc>
        <w:tc>
          <w:tcPr>
            <w:tcW w:w="1744" w:type="dxa"/>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硕士及以上</w:t>
            </w:r>
          </w:p>
        </w:tc>
        <w:tc>
          <w:tcPr>
            <w:tcW w:w="2325" w:type="dxa"/>
            <w:vAlign w:val="center"/>
          </w:tcPr>
          <w:p>
            <w:pPr>
              <w:jc w:val="both"/>
              <w:rPr>
                <w:rFonts w:hint="eastAsia" w:ascii="仿宋_GB2312" w:hAnsi="仿宋_GB2312" w:eastAsia="仿宋_GB2312" w:cs="仿宋_GB2312"/>
                <w:color w:val="000000"/>
                <w:sz w:val="21"/>
                <w:szCs w:val="21"/>
                <w:lang w:eastAsia="zh-CN"/>
              </w:rPr>
            </w:pPr>
          </w:p>
        </w:tc>
        <w:tc>
          <w:tcPr>
            <w:tcW w:w="706" w:type="dxa"/>
            <w:vAlign w:val="center"/>
          </w:tcPr>
          <w:p>
            <w:pPr>
              <w:jc w:val="center"/>
              <w:rPr>
                <w:rFonts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508" w:type="dxa"/>
            <w:vAlign w:val="center"/>
          </w:tcPr>
          <w:p>
            <w:pPr>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合计</w:t>
            </w:r>
          </w:p>
        </w:tc>
        <w:tc>
          <w:tcPr>
            <w:tcW w:w="1368" w:type="dxa"/>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46人</w:t>
            </w:r>
          </w:p>
        </w:tc>
        <w:tc>
          <w:tcPr>
            <w:tcW w:w="1505" w:type="dxa"/>
            <w:vAlign w:val="center"/>
          </w:tcPr>
          <w:p>
            <w:pPr>
              <w:ind w:firstLine="2100" w:firstLineChars="1000"/>
              <w:rPr>
                <w:rFonts w:ascii="仿宋_GB2312" w:hAnsi="仿宋_GB2312" w:eastAsia="仿宋_GB2312" w:cs="仿宋_GB2312"/>
                <w:color w:val="000000"/>
                <w:sz w:val="21"/>
                <w:szCs w:val="21"/>
              </w:rPr>
            </w:pPr>
          </w:p>
        </w:tc>
        <w:tc>
          <w:tcPr>
            <w:tcW w:w="3910" w:type="dxa"/>
            <w:vAlign w:val="center"/>
          </w:tcPr>
          <w:p>
            <w:pPr>
              <w:ind w:firstLine="2100" w:firstLineChars="1000"/>
              <w:jc w:val="center"/>
              <w:rPr>
                <w:rFonts w:ascii="仿宋_GB2312" w:hAnsi="仿宋_GB2312" w:eastAsia="仿宋_GB2312" w:cs="仿宋_GB2312"/>
                <w:color w:val="000000"/>
                <w:sz w:val="21"/>
                <w:szCs w:val="21"/>
              </w:rPr>
            </w:pPr>
          </w:p>
        </w:tc>
        <w:tc>
          <w:tcPr>
            <w:tcW w:w="709" w:type="dxa"/>
            <w:vAlign w:val="center"/>
          </w:tcPr>
          <w:p>
            <w:pPr>
              <w:jc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46</w:t>
            </w:r>
          </w:p>
        </w:tc>
        <w:tc>
          <w:tcPr>
            <w:tcW w:w="1399" w:type="dxa"/>
            <w:vAlign w:val="center"/>
          </w:tcPr>
          <w:p>
            <w:pPr>
              <w:rPr>
                <w:rFonts w:ascii="仿宋_GB2312" w:hAnsi="仿宋_GB2312" w:eastAsia="仿宋_GB2312" w:cs="仿宋_GB2312"/>
                <w:color w:val="000000"/>
                <w:sz w:val="21"/>
                <w:szCs w:val="21"/>
              </w:rPr>
            </w:pPr>
          </w:p>
        </w:tc>
        <w:tc>
          <w:tcPr>
            <w:tcW w:w="1744" w:type="dxa"/>
            <w:vAlign w:val="center"/>
          </w:tcPr>
          <w:p>
            <w:pPr>
              <w:rPr>
                <w:rFonts w:ascii="仿宋_GB2312" w:hAnsi="仿宋_GB2312" w:eastAsia="仿宋_GB2312" w:cs="仿宋_GB2312"/>
                <w:color w:val="000000"/>
                <w:sz w:val="21"/>
                <w:szCs w:val="21"/>
              </w:rPr>
            </w:pPr>
          </w:p>
        </w:tc>
        <w:tc>
          <w:tcPr>
            <w:tcW w:w="2325" w:type="dxa"/>
            <w:vAlign w:val="center"/>
          </w:tcPr>
          <w:p>
            <w:pPr>
              <w:jc w:val="center"/>
              <w:rPr>
                <w:rFonts w:ascii="仿宋_GB2312" w:hAnsi="仿宋_GB2312" w:eastAsia="仿宋_GB2312" w:cs="仿宋_GB2312"/>
                <w:color w:val="000000"/>
                <w:sz w:val="21"/>
                <w:szCs w:val="21"/>
              </w:rPr>
            </w:pPr>
          </w:p>
        </w:tc>
        <w:tc>
          <w:tcPr>
            <w:tcW w:w="706" w:type="dxa"/>
            <w:vAlign w:val="center"/>
          </w:tcPr>
          <w:p>
            <w:pPr>
              <w:jc w:val="center"/>
              <w:rPr>
                <w:rFonts w:ascii="仿宋_GB2312" w:hAnsi="仿宋_GB2312" w:eastAsia="仿宋_GB2312" w:cs="仿宋_GB2312"/>
                <w:color w:val="000000"/>
                <w:sz w:val="21"/>
                <w:szCs w:val="21"/>
              </w:rPr>
            </w:pPr>
          </w:p>
        </w:tc>
      </w:tr>
    </w:tbl>
    <w:p>
      <w:pPr>
        <w:spacing w:line="540" w:lineRule="exact"/>
        <w:jc w:val="left"/>
        <w:rPr>
          <w:rFonts w:cs="Times New Roman" w:asciiTheme="minorEastAsia" w:hAnsiTheme="minorEastAsia"/>
          <w:sz w:val="28"/>
          <w:szCs w:val="28"/>
        </w:rPr>
        <w:sectPr>
          <w:pgSz w:w="16838" w:h="11906" w:orient="landscape"/>
          <w:pgMar w:top="1797" w:right="1440" w:bottom="449" w:left="1440" w:header="851" w:footer="992" w:gutter="0"/>
          <w:cols w:space="425" w:num="1"/>
          <w:docGrid w:type="linesAndChars" w:linePitch="312" w:charSpace="0"/>
        </w:sectPr>
      </w:pPr>
    </w:p>
    <w:p>
      <w:pPr>
        <w:spacing w:line="540" w:lineRule="exact"/>
        <w:jc w:val="left"/>
        <w:rPr>
          <w:rStyle w:val="9"/>
          <w:rFonts w:ascii="宋体" w:hAnsi="宋体" w:eastAsia="宋体" w:cs="宋体"/>
          <w:color w:val="000000"/>
          <w:kern w:val="0"/>
          <w:sz w:val="36"/>
          <w:szCs w:val="36"/>
          <w:lang w:bidi="ar"/>
        </w:rPr>
      </w:pPr>
      <w:r>
        <w:rPr>
          <w:rFonts w:hint="eastAsia" w:ascii="黑体" w:hAnsi="黑体" w:eastAsia="黑体" w:cs="Times New Roman"/>
          <w:sz w:val="28"/>
          <w:szCs w:val="28"/>
        </w:rPr>
        <w:t>附件2</w:t>
      </w:r>
      <w:r>
        <w:rPr>
          <w:rFonts w:hint="eastAsia" w:ascii="黑体" w:hAnsi="黑体" w:eastAsia="黑体" w:cs="Times New Roman"/>
          <w:sz w:val="28"/>
          <w:szCs w:val="28"/>
          <w:lang w:eastAsia="zh-CN"/>
        </w:rPr>
        <w:t>、</w:t>
      </w:r>
      <w:r>
        <w:rPr>
          <w:rFonts w:hint="eastAsia" w:ascii="黑体" w:hAnsi="黑体" w:eastAsia="黑体" w:cs="Times New Roman"/>
          <w:sz w:val="28"/>
          <w:szCs w:val="28"/>
          <w:lang w:val="en-US" w:eastAsia="zh-CN"/>
        </w:rPr>
        <w:t xml:space="preserve">     </w:t>
      </w:r>
      <w:r>
        <w:rPr>
          <w:rStyle w:val="9"/>
          <w:rFonts w:hint="eastAsia" w:ascii="宋体" w:hAnsi="宋体" w:eastAsia="宋体" w:cs="宋体"/>
          <w:color w:val="000000"/>
          <w:kern w:val="0"/>
          <w:sz w:val="36"/>
          <w:szCs w:val="36"/>
          <w:lang w:bidi="ar"/>
        </w:rPr>
        <w:t>东营科技职业学院教师招聘岗位登记表</w:t>
      </w:r>
    </w:p>
    <w:tbl>
      <w:tblPr>
        <w:tblStyle w:val="7"/>
        <w:tblW w:w="86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3"/>
        <w:gridCol w:w="109"/>
        <w:gridCol w:w="840"/>
        <w:gridCol w:w="234"/>
        <w:gridCol w:w="748"/>
        <w:gridCol w:w="358"/>
        <w:gridCol w:w="630"/>
        <w:gridCol w:w="1399"/>
        <w:gridCol w:w="74"/>
        <w:gridCol w:w="1194"/>
        <w:gridCol w:w="494"/>
        <w:gridCol w:w="70"/>
        <w:gridCol w:w="1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502" w:type="dxa"/>
            <w:gridSpan w:val="2"/>
          </w:tcPr>
          <w:p>
            <w:pPr>
              <w:spacing w:line="520" w:lineRule="exact"/>
              <w:ind w:firstLine="120" w:firstLineChars="50"/>
              <w:rPr>
                <w:rFonts w:ascii="仿宋_GB2312" w:hAnsi="宋体" w:eastAsia="仿宋_GB2312" w:cs="宋体"/>
                <w:color w:val="333333"/>
                <w:kern w:val="0"/>
                <w:sz w:val="24"/>
                <w:szCs w:val="24"/>
              </w:rPr>
            </w:pPr>
            <w:r>
              <w:rPr>
                <w:rFonts w:ascii="仿宋_GB2312" w:hAnsi="宋体" w:eastAsia="仿宋_GB2312" w:cs="宋体"/>
                <w:color w:val="333333"/>
                <w:kern w:val="0"/>
                <w:sz w:val="24"/>
                <w:szCs w:val="24"/>
              </w:rPr>
              <w:t>姓</w:t>
            </w:r>
            <w:r>
              <w:rPr>
                <w:rFonts w:hint="eastAsia" w:ascii="仿宋_GB2312" w:hAnsi="宋体" w:eastAsia="仿宋_GB2312" w:cs="宋体"/>
                <w:color w:val="333333"/>
                <w:kern w:val="0"/>
                <w:sz w:val="24"/>
                <w:szCs w:val="24"/>
              </w:rPr>
              <w:t xml:space="preserve"> </w:t>
            </w:r>
            <w:r>
              <w:rPr>
                <w:rFonts w:ascii="仿宋_GB2312" w:hAnsi="宋体" w:eastAsia="仿宋_GB2312" w:cs="宋体"/>
                <w:color w:val="333333"/>
                <w:kern w:val="0"/>
                <w:sz w:val="24"/>
                <w:szCs w:val="24"/>
              </w:rPr>
              <w:t>名</w:t>
            </w:r>
          </w:p>
        </w:tc>
        <w:tc>
          <w:tcPr>
            <w:tcW w:w="840" w:type="dxa"/>
          </w:tcPr>
          <w:p>
            <w:pPr>
              <w:spacing w:line="520" w:lineRule="exact"/>
              <w:rPr>
                <w:rFonts w:ascii="仿宋_GB2312" w:hAnsi="宋体" w:eastAsia="仿宋_GB2312" w:cs="宋体"/>
                <w:color w:val="333333"/>
                <w:kern w:val="0"/>
                <w:sz w:val="24"/>
                <w:szCs w:val="24"/>
              </w:rPr>
            </w:pPr>
          </w:p>
        </w:tc>
        <w:tc>
          <w:tcPr>
            <w:tcW w:w="982" w:type="dxa"/>
            <w:gridSpan w:val="2"/>
          </w:tcPr>
          <w:p>
            <w:pPr>
              <w:spacing w:line="520" w:lineRule="exact"/>
              <w:rPr>
                <w:rFonts w:ascii="仿宋_GB2312" w:hAnsi="宋体" w:eastAsia="仿宋_GB2312" w:cs="宋体"/>
                <w:color w:val="333333"/>
                <w:kern w:val="0"/>
                <w:sz w:val="24"/>
                <w:szCs w:val="24"/>
              </w:rPr>
            </w:pPr>
            <w:r>
              <w:rPr>
                <w:rFonts w:ascii="仿宋_GB2312" w:hAnsi="宋体" w:eastAsia="仿宋_GB2312" w:cs="宋体"/>
                <w:color w:val="333333"/>
                <w:kern w:val="0"/>
                <w:sz w:val="24"/>
                <w:szCs w:val="24"/>
              </w:rPr>
              <w:t>性</w:t>
            </w:r>
            <w:r>
              <w:rPr>
                <w:rFonts w:hint="eastAsia" w:ascii="仿宋_GB2312" w:hAnsi="宋体" w:eastAsia="仿宋_GB2312" w:cs="宋体"/>
                <w:color w:val="333333"/>
                <w:kern w:val="0"/>
                <w:sz w:val="24"/>
                <w:szCs w:val="24"/>
              </w:rPr>
              <w:t xml:space="preserve"> </w:t>
            </w:r>
            <w:r>
              <w:rPr>
                <w:rFonts w:ascii="仿宋_GB2312" w:hAnsi="宋体" w:eastAsia="仿宋_GB2312" w:cs="宋体"/>
                <w:color w:val="333333"/>
                <w:kern w:val="0"/>
                <w:sz w:val="24"/>
                <w:szCs w:val="24"/>
              </w:rPr>
              <w:t>别</w:t>
            </w:r>
          </w:p>
        </w:tc>
        <w:tc>
          <w:tcPr>
            <w:tcW w:w="988" w:type="dxa"/>
            <w:gridSpan w:val="2"/>
          </w:tcPr>
          <w:p>
            <w:pPr>
              <w:spacing w:line="520" w:lineRule="exact"/>
              <w:rPr>
                <w:rFonts w:ascii="仿宋_GB2312" w:hAnsi="宋体" w:eastAsia="仿宋_GB2312" w:cs="宋体"/>
                <w:color w:val="333333"/>
                <w:kern w:val="0"/>
                <w:sz w:val="24"/>
                <w:szCs w:val="24"/>
              </w:rPr>
            </w:pPr>
          </w:p>
        </w:tc>
        <w:tc>
          <w:tcPr>
            <w:tcW w:w="1399" w:type="dxa"/>
          </w:tcPr>
          <w:p>
            <w:pPr>
              <w:spacing w:line="520" w:lineRule="exact"/>
              <w:rPr>
                <w:rFonts w:ascii="仿宋_GB2312" w:hAnsi="宋体" w:eastAsia="仿宋_GB2312" w:cs="宋体"/>
                <w:color w:val="333333"/>
                <w:kern w:val="0"/>
                <w:sz w:val="24"/>
                <w:szCs w:val="24"/>
              </w:rPr>
            </w:pPr>
            <w:r>
              <w:rPr>
                <w:rFonts w:ascii="仿宋_GB2312" w:hAnsi="宋体" w:eastAsia="仿宋_GB2312" w:cs="宋体"/>
                <w:color w:val="333333"/>
                <w:kern w:val="0"/>
                <w:sz w:val="24"/>
                <w:szCs w:val="24"/>
              </w:rPr>
              <w:t>出生年月</w:t>
            </w:r>
          </w:p>
        </w:tc>
        <w:tc>
          <w:tcPr>
            <w:tcW w:w="1268" w:type="dxa"/>
            <w:gridSpan w:val="2"/>
          </w:tcPr>
          <w:p>
            <w:pPr>
              <w:spacing w:line="520" w:lineRule="exact"/>
              <w:rPr>
                <w:rFonts w:ascii="仿宋_GB2312" w:hAnsi="宋体" w:eastAsia="仿宋_GB2312" w:cs="宋体"/>
                <w:color w:val="333333"/>
                <w:kern w:val="0"/>
                <w:sz w:val="24"/>
                <w:szCs w:val="24"/>
              </w:rPr>
            </w:pPr>
          </w:p>
        </w:tc>
        <w:tc>
          <w:tcPr>
            <w:tcW w:w="1682" w:type="dxa"/>
            <w:gridSpan w:val="3"/>
            <w:vMerge w:val="restart"/>
          </w:tcPr>
          <w:p>
            <w:pPr>
              <w:spacing w:line="520" w:lineRule="exact"/>
              <w:rPr>
                <w:rFonts w:ascii="仿宋_GB2312" w:hAnsi="宋体" w:eastAsia="仿宋_GB2312" w:cs="宋体"/>
                <w:color w:val="333333"/>
                <w:kern w:val="0"/>
                <w:sz w:val="24"/>
                <w:szCs w:val="24"/>
              </w:rPr>
            </w:pPr>
          </w:p>
          <w:p>
            <w:pPr>
              <w:spacing w:line="520" w:lineRule="exact"/>
              <w:rPr>
                <w:rFonts w:ascii="仿宋_GB2312" w:hAnsi="宋体" w:eastAsia="仿宋_GB2312" w:cs="宋体"/>
                <w:color w:val="333333"/>
                <w:kern w:val="0"/>
                <w:sz w:val="24"/>
                <w:szCs w:val="24"/>
              </w:rPr>
            </w:pPr>
          </w:p>
          <w:p>
            <w:pPr>
              <w:spacing w:line="520" w:lineRule="exact"/>
              <w:ind w:firstLine="360" w:firstLineChars="150"/>
              <w:rPr>
                <w:rFonts w:ascii="仿宋_GB2312" w:hAnsi="宋体" w:eastAsia="仿宋_GB2312" w:cs="宋体"/>
                <w:color w:val="333333"/>
                <w:kern w:val="0"/>
                <w:sz w:val="24"/>
                <w:szCs w:val="24"/>
              </w:rPr>
            </w:pPr>
            <w:r>
              <w:rPr>
                <w:rFonts w:ascii="仿宋_GB2312" w:hAnsi="宋体" w:eastAsia="仿宋_GB2312" w:cs="宋体"/>
                <w:color w:val="333333"/>
                <w:kern w:val="0"/>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502" w:type="dxa"/>
            <w:gridSpan w:val="2"/>
          </w:tcPr>
          <w:p>
            <w:pPr>
              <w:spacing w:line="520" w:lineRule="exact"/>
              <w:rPr>
                <w:rFonts w:ascii="仿宋_GB2312" w:hAnsi="宋体" w:eastAsia="仿宋_GB2312" w:cs="宋体"/>
                <w:color w:val="333333"/>
                <w:kern w:val="0"/>
                <w:sz w:val="24"/>
                <w:szCs w:val="24"/>
              </w:rPr>
            </w:pPr>
            <w:r>
              <w:rPr>
                <w:rFonts w:ascii="仿宋_GB2312" w:hAnsi="宋体" w:eastAsia="仿宋_GB2312" w:cs="宋体"/>
                <w:color w:val="333333"/>
                <w:kern w:val="0"/>
                <w:sz w:val="24"/>
                <w:szCs w:val="24"/>
              </w:rPr>
              <w:t>政治面貌</w:t>
            </w:r>
          </w:p>
        </w:tc>
        <w:tc>
          <w:tcPr>
            <w:tcW w:w="840" w:type="dxa"/>
          </w:tcPr>
          <w:p>
            <w:pPr>
              <w:spacing w:line="520" w:lineRule="exact"/>
              <w:rPr>
                <w:rFonts w:ascii="仿宋_GB2312" w:hAnsi="宋体" w:eastAsia="仿宋_GB2312" w:cs="宋体"/>
                <w:color w:val="333333"/>
                <w:kern w:val="0"/>
                <w:sz w:val="24"/>
                <w:szCs w:val="24"/>
              </w:rPr>
            </w:pPr>
          </w:p>
        </w:tc>
        <w:tc>
          <w:tcPr>
            <w:tcW w:w="982" w:type="dxa"/>
            <w:gridSpan w:val="2"/>
          </w:tcPr>
          <w:p>
            <w:pPr>
              <w:spacing w:line="520" w:lineRule="exact"/>
              <w:rPr>
                <w:rFonts w:ascii="仿宋_GB2312" w:hAnsi="宋体" w:eastAsia="仿宋_GB2312" w:cs="宋体"/>
                <w:color w:val="333333"/>
                <w:kern w:val="0"/>
                <w:sz w:val="24"/>
                <w:szCs w:val="24"/>
              </w:rPr>
            </w:pPr>
            <w:r>
              <w:rPr>
                <w:rFonts w:ascii="仿宋_GB2312" w:hAnsi="宋体" w:eastAsia="仿宋_GB2312" w:cs="宋体"/>
                <w:color w:val="333333"/>
                <w:kern w:val="0"/>
                <w:sz w:val="24"/>
                <w:szCs w:val="24"/>
              </w:rPr>
              <w:t>民</w:t>
            </w:r>
            <w:r>
              <w:rPr>
                <w:rFonts w:hint="eastAsia" w:ascii="仿宋_GB2312" w:hAnsi="宋体" w:eastAsia="仿宋_GB2312" w:cs="宋体"/>
                <w:color w:val="333333"/>
                <w:kern w:val="0"/>
                <w:sz w:val="24"/>
                <w:szCs w:val="24"/>
              </w:rPr>
              <w:t xml:space="preserve"> </w:t>
            </w:r>
            <w:r>
              <w:rPr>
                <w:rFonts w:ascii="仿宋_GB2312" w:hAnsi="宋体" w:eastAsia="仿宋_GB2312" w:cs="宋体"/>
                <w:color w:val="333333"/>
                <w:kern w:val="0"/>
                <w:sz w:val="24"/>
                <w:szCs w:val="24"/>
              </w:rPr>
              <w:t>族</w:t>
            </w:r>
          </w:p>
        </w:tc>
        <w:tc>
          <w:tcPr>
            <w:tcW w:w="988" w:type="dxa"/>
            <w:gridSpan w:val="2"/>
          </w:tcPr>
          <w:p>
            <w:pPr>
              <w:spacing w:line="520" w:lineRule="exact"/>
              <w:rPr>
                <w:rFonts w:ascii="仿宋_GB2312" w:hAnsi="宋体" w:eastAsia="仿宋_GB2312" w:cs="宋体"/>
                <w:color w:val="333333"/>
                <w:kern w:val="0"/>
                <w:sz w:val="24"/>
                <w:szCs w:val="24"/>
              </w:rPr>
            </w:pPr>
          </w:p>
        </w:tc>
        <w:tc>
          <w:tcPr>
            <w:tcW w:w="1399" w:type="dxa"/>
          </w:tcPr>
          <w:p>
            <w:pPr>
              <w:spacing w:line="520" w:lineRule="exact"/>
              <w:ind w:firstLine="120" w:firstLineChars="50"/>
              <w:rPr>
                <w:rFonts w:ascii="仿宋_GB2312" w:hAnsi="宋体" w:eastAsia="仿宋_GB2312" w:cs="宋体"/>
                <w:color w:val="333333"/>
                <w:kern w:val="0"/>
                <w:sz w:val="24"/>
                <w:szCs w:val="24"/>
              </w:rPr>
            </w:pPr>
            <w:r>
              <w:rPr>
                <w:rFonts w:ascii="仿宋_GB2312" w:hAnsi="宋体" w:eastAsia="仿宋_GB2312" w:cs="宋体"/>
                <w:color w:val="333333"/>
                <w:kern w:val="0"/>
                <w:sz w:val="24"/>
                <w:szCs w:val="24"/>
              </w:rPr>
              <w:t>籍</w:t>
            </w:r>
            <w:r>
              <w:rPr>
                <w:rFonts w:hint="eastAsia" w:ascii="仿宋_GB2312" w:hAnsi="宋体" w:eastAsia="仿宋_GB2312" w:cs="宋体"/>
                <w:color w:val="333333"/>
                <w:kern w:val="0"/>
                <w:sz w:val="24"/>
                <w:szCs w:val="24"/>
              </w:rPr>
              <w:t xml:space="preserve">  </w:t>
            </w:r>
            <w:r>
              <w:rPr>
                <w:rFonts w:ascii="仿宋_GB2312" w:hAnsi="宋体" w:eastAsia="仿宋_GB2312" w:cs="宋体"/>
                <w:color w:val="333333"/>
                <w:kern w:val="0"/>
                <w:sz w:val="24"/>
                <w:szCs w:val="24"/>
              </w:rPr>
              <w:t>贯</w:t>
            </w:r>
          </w:p>
        </w:tc>
        <w:tc>
          <w:tcPr>
            <w:tcW w:w="1268" w:type="dxa"/>
            <w:gridSpan w:val="2"/>
          </w:tcPr>
          <w:p>
            <w:pPr>
              <w:spacing w:line="520" w:lineRule="exact"/>
              <w:rPr>
                <w:rFonts w:ascii="仿宋_GB2312" w:hAnsi="宋体" w:eastAsia="仿宋_GB2312" w:cs="宋体"/>
                <w:color w:val="333333"/>
                <w:kern w:val="0"/>
                <w:sz w:val="24"/>
                <w:szCs w:val="24"/>
              </w:rPr>
            </w:pPr>
          </w:p>
        </w:tc>
        <w:tc>
          <w:tcPr>
            <w:tcW w:w="1682" w:type="dxa"/>
            <w:gridSpan w:val="3"/>
            <w:vMerge w:val="continue"/>
          </w:tcPr>
          <w:p>
            <w:pPr>
              <w:spacing w:line="520" w:lineRule="exact"/>
              <w:rPr>
                <w:rFonts w:ascii="仿宋_GB2312" w:hAnsi="宋体" w:eastAsia="仿宋_GB2312" w:cs="宋体"/>
                <w:color w:val="333333"/>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502" w:type="dxa"/>
            <w:gridSpan w:val="2"/>
          </w:tcPr>
          <w:p>
            <w:pPr>
              <w:spacing w:line="520" w:lineRule="exact"/>
              <w:rPr>
                <w:rFonts w:ascii="仿宋_GB2312" w:hAnsi="宋体" w:eastAsia="仿宋_GB2312" w:cs="宋体"/>
                <w:color w:val="333333"/>
                <w:kern w:val="0"/>
                <w:sz w:val="24"/>
                <w:szCs w:val="24"/>
              </w:rPr>
            </w:pPr>
            <w:r>
              <w:rPr>
                <w:rFonts w:ascii="仿宋_GB2312" w:hAnsi="宋体" w:eastAsia="仿宋_GB2312" w:cs="宋体"/>
                <w:color w:val="333333"/>
                <w:kern w:val="0"/>
                <w:sz w:val="24"/>
                <w:szCs w:val="24"/>
              </w:rPr>
              <w:t>毕业院校</w:t>
            </w:r>
          </w:p>
        </w:tc>
        <w:tc>
          <w:tcPr>
            <w:tcW w:w="2810" w:type="dxa"/>
            <w:gridSpan w:val="5"/>
          </w:tcPr>
          <w:p>
            <w:pPr>
              <w:spacing w:line="520" w:lineRule="exact"/>
              <w:rPr>
                <w:rFonts w:ascii="仿宋_GB2312" w:hAnsi="宋体" w:eastAsia="仿宋_GB2312" w:cs="宋体"/>
                <w:color w:val="333333"/>
                <w:kern w:val="0"/>
                <w:sz w:val="24"/>
                <w:szCs w:val="24"/>
              </w:rPr>
            </w:pPr>
          </w:p>
        </w:tc>
        <w:tc>
          <w:tcPr>
            <w:tcW w:w="1399" w:type="dxa"/>
          </w:tcPr>
          <w:p>
            <w:pPr>
              <w:spacing w:line="520" w:lineRule="exact"/>
              <w:ind w:firstLine="120" w:firstLineChars="50"/>
              <w:rPr>
                <w:rFonts w:ascii="仿宋_GB2312" w:hAnsi="宋体" w:eastAsia="仿宋_GB2312" w:cs="宋体"/>
                <w:color w:val="333333"/>
                <w:kern w:val="0"/>
                <w:sz w:val="24"/>
                <w:szCs w:val="24"/>
              </w:rPr>
            </w:pPr>
            <w:r>
              <w:rPr>
                <w:rFonts w:ascii="仿宋_GB2312" w:hAnsi="宋体" w:eastAsia="仿宋_GB2312" w:cs="宋体"/>
                <w:color w:val="333333"/>
                <w:kern w:val="0"/>
                <w:sz w:val="24"/>
                <w:szCs w:val="24"/>
              </w:rPr>
              <w:t>专</w:t>
            </w:r>
            <w:r>
              <w:rPr>
                <w:rFonts w:hint="eastAsia" w:ascii="仿宋_GB2312" w:hAnsi="宋体" w:eastAsia="仿宋_GB2312" w:cs="宋体"/>
                <w:color w:val="333333"/>
                <w:kern w:val="0"/>
                <w:sz w:val="24"/>
                <w:szCs w:val="24"/>
              </w:rPr>
              <w:t xml:space="preserve">  </w:t>
            </w:r>
            <w:r>
              <w:rPr>
                <w:rFonts w:ascii="仿宋_GB2312" w:hAnsi="宋体" w:eastAsia="仿宋_GB2312" w:cs="宋体"/>
                <w:color w:val="333333"/>
                <w:kern w:val="0"/>
                <w:sz w:val="24"/>
                <w:szCs w:val="24"/>
              </w:rPr>
              <w:t>业</w:t>
            </w:r>
          </w:p>
        </w:tc>
        <w:tc>
          <w:tcPr>
            <w:tcW w:w="1268" w:type="dxa"/>
            <w:gridSpan w:val="2"/>
          </w:tcPr>
          <w:p>
            <w:pPr>
              <w:spacing w:line="520" w:lineRule="exact"/>
              <w:rPr>
                <w:rFonts w:ascii="仿宋_GB2312" w:hAnsi="宋体" w:eastAsia="仿宋_GB2312" w:cs="宋体"/>
                <w:color w:val="333333"/>
                <w:kern w:val="0"/>
                <w:sz w:val="24"/>
                <w:szCs w:val="24"/>
              </w:rPr>
            </w:pPr>
          </w:p>
        </w:tc>
        <w:tc>
          <w:tcPr>
            <w:tcW w:w="1682" w:type="dxa"/>
            <w:gridSpan w:val="3"/>
            <w:vMerge w:val="continue"/>
          </w:tcPr>
          <w:p>
            <w:pPr>
              <w:spacing w:line="520" w:lineRule="exact"/>
              <w:rPr>
                <w:rFonts w:ascii="仿宋_GB2312" w:hAnsi="宋体" w:eastAsia="仿宋_GB2312" w:cs="宋体"/>
                <w:color w:val="333333"/>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502" w:type="dxa"/>
            <w:gridSpan w:val="2"/>
          </w:tcPr>
          <w:p>
            <w:pPr>
              <w:spacing w:line="520" w:lineRule="exact"/>
              <w:rPr>
                <w:rFonts w:ascii="仿宋_GB2312" w:hAnsi="宋体" w:eastAsia="仿宋_GB2312" w:cs="宋体"/>
                <w:color w:val="333333"/>
                <w:kern w:val="0"/>
                <w:sz w:val="24"/>
                <w:szCs w:val="24"/>
              </w:rPr>
            </w:pPr>
            <w:r>
              <w:rPr>
                <w:rFonts w:ascii="仿宋_GB2312" w:hAnsi="宋体" w:eastAsia="仿宋_GB2312" w:cs="宋体"/>
                <w:color w:val="333333"/>
                <w:kern w:val="0"/>
                <w:sz w:val="24"/>
                <w:szCs w:val="24"/>
              </w:rPr>
              <w:t>毕业时间</w:t>
            </w:r>
          </w:p>
        </w:tc>
        <w:tc>
          <w:tcPr>
            <w:tcW w:w="840" w:type="dxa"/>
          </w:tcPr>
          <w:p>
            <w:pPr>
              <w:spacing w:line="520" w:lineRule="exact"/>
              <w:rPr>
                <w:rFonts w:ascii="仿宋_GB2312" w:hAnsi="宋体" w:eastAsia="仿宋_GB2312" w:cs="宋体"/>
                <w:color w:val="333333"/>
                <w:kern w:val="0"/>
                <w:sz w:val="24"/>
                <w:szCs w:val="24"/>
              </w:rPr>
            </w:pPr>
          </w:p>
        </w:tc>
        <w:tc>
          <w:tcPr>
            <w:tcW w:w="982" w:type="dxa"/>
            <w:gridSpan w:val="2"/>
          </w:tcPr>
          <w:p>
            <w:pPr>
              <w:spacing w:line="520" w:lineRule="exact"/>
              <w:rPr>
                <w:rFonts w:ascii="仿宋_GB2312" w:hAnsi="宋体" w:eastAsia="仿宋_GB2312" w:cs="宋体"/>
                <w:color w:val="333333"/>
                <w:kern w:val="0"/>
                <w:sz w:val="24"/>
                <w:szCs w:val="24"/>
              </w:rPr>
            </w:pPr>
            <w:r>
              <w:rPr>
                <w:rFonts w:ascii="仿宋_GB2312" w:hAnsi="宋体" w:eastAsia="仿宋_GB2312" w:cs="宋体"/>
                <w:color w:val="333333"/>
                <w:kern w:val="0"/>
                <w:sz w:val="24"/>
                <w:szCs w:val="24"/>
              </w:rPr>
              <w:t>学位</w:t>
            </w:r>
          </w:p>
        </w:tc>
        <w:tc>
          <w:tcPr>
            <w:tcW w:w="988" w:type="dxa"/>
            <w:gridSpan w:val="2"/>
          </w:tcPr>
          <w:p>
            <w:pPr>
              <w:spacing w:line="520" w:lineRule="exact"/>
              <w:rPr>
                <w:rFonts w:ascii="仿宋_GB2312" w:hAnsi="宋体" w:eastAsia="仿宋_GB2312" w:cs="宋体"/>
                <w:color w:val="333333"/>
                <w:kern w:val="0"/>
                <w:sz w:val="24"/>
                <w:szCs w:val="24"/>
              </w:rPr>
            </w:pPr>
          </w:p>
        </w:tc>
        <w:tc>
          <w:tcPr>
            <w:tcW w:w="1399" w:type="dxa"/>
          </w:tcPr>
          <w:p>
            <w:pPr>
              <w:spacing w:line="520" w:lineRule="exact"/>
              <w:rPr>
                <w:rFonts w:ascii="仿宋_GB2312" w:hAnsi="宋体" w:eastAsia="仿宋_GB2312" w:cs="宋体"/>
                <w:color w:val="333333"/>
                <w:kern w:val="0"/>
                <w:sz w:val="24"/>
                <w:szCs w:val="24"/>
              </w:rPr>
            </w:pPr>
            <w:r>
              <w:rPr>
                <w:rFonts w:ascii="仿宋_GB2312" w:hAnsi="宋体" w:eastAsia="仿宋_GB2312" w:cs="宋体"/>
                <w:color w:val="333333"/>
                <w:kern w:val="0"/>
                <w:sz w:val="24"/>
                <w:szCs w:val="24"/>
              </w:rPr>
              <w:t>爱好特长</w:t>
            </w:r>
          </w:p>
        </w:tc>
        <w:tc>
          <w:tcPr>
            <w:tcW w:w="1268" w:type="dxa"/>
            <w:gridSpan w:val="2"/>
          </w:tcPr>
          <w:p>
            <w:pPr>
              <w:spacing w:line="520" w:lineRule="exact"/>
              <w:rPr>
                <w:rFonts w:ascii="仿宋_GB2312" w:hAnsi="宋体" w:eastAsia="仿宋_GB2312" w:cs="宋体"/>
                <w:color w:val="333333"/>
                <w:kern w:val="0"/>
                <w:sz w:val="24"/>
                <w:szCs w:val="24"/>
              </w:rPr>
            </w:pPr>
          </w:p>
        </w:tc>
        <w:tc>
          <w:tcPr>
            <w:tcW w:w="1682" w:type="dxa"/>
            <w:gridSpan w:val="3"/>
            <w:vMerge w:val="continue"/>
          </w:tcPr>
          <w:p>
            <w:pPr>
              <w:spacing w:line="520" w:lineRule="exact"/>
              <w:rPr>
                <w:rFonts w:ascii="仿宋_GB2312" w:hAnsi="宋体" w:eastAsia="仿宋_GB2312" w:cs="宋体"/>
                <w:color w:val="333333"/>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502" w:type="dxa"/>
            <w:gridSpan w:val="2"/>
          </w:tcPr>
          <w:p>
            <w:pPr>
              <w:spacing w:line="520" w:lineRule="exact"/>
              <w:rPr>
                <w:rFonts w:ascii="仿宋_GB2312" w:hAnsi="宋体" w:eastAsia="仿宋_GB2312" w:cs="宋体"/>
                <w:color w:val="333333"/>
                <w:kern w:val="0"/>
                <w:sz w:val="24"/>
                <w:szCs w:val="24"/>
              </w:rPr>
            </w:pPr>
            <w:r>
              <w:rPr>
                <w:rFonts w:ascii="仿宋_GB2312" w:hAnsi="宋体" w:eastAsia="仿宋_GB2312" w:cs="宋体"/>
                <w:color w:val="333333"/>
                <w:kern w:val="0"/>
                <w:sz w:val="24"/>
                <w:szCs w:val="24"/>
              </w:rPr>
              <w:t>外语水平</w:t>
            </w:r>
          </w:p>
        </w:tc>
        <w:tc>
          <w:tcPr>
            <w:tcW w:w="1074" w:type="dxa"/>
            <w:gridSpan w:val="2"/>
          </w:tcPr>
          <w:p>
            <w:pPr>
              <w:spacing w:line="520" w:lineRule="exact"/>
              <w:rPr>
                <w:rFonts w:ascii="仿宋_GB2312" w:hAnsi="宋体" w:eastAsia="仿宋_GB2312" w:cs="宋体"/>
                <w:color w:val="333333"/>
                <w:kern w:val="0"/>
                <w:sz w:val="24"/>
                <w:szCs w:val="24"/>
              </w:rPr>
            </w:pPr>
          </w:p>
        </w:tc>
        <w:tc>
          <w:tcPr>
            <w:tcW w:w="1736" w:type="dxa"/>
            <w:gridSpan w:val="3"/>
          </w:tcPr>
          <w:p>
            <w:pPr>
              <w:spacing w:line="520" w:lineRule="exact"/>
              <w:rPr>
                <w:rFonts w:ascii="仿宋_GB2312" w:hAnsi="宋体" w:eastAsia="仿宋_GB2312" w:cs="宋体"/>
                <w:color w:val="333333"/>
                <w:kern w:val="0"/>
                <w:sz w:val="24"/>
                <w:szCs w:val="24"/>
              </w:rPr>
            </w:pPr>
            <w:r>
              <w:rPr>
                <w:rFonts w:ascii="仿宋_GB2312" w:hAnsi="宋体" w:eastAsia="仿宋_GB2312" w:cs="宋体"/>
                <w:color w:val="333333"/>
                <w:kern w:val="0"/>
                <w:sz w:val="24"/>
                <w:szCs w:val="24"/>
              </w:rPr>
              <w:t>计算机水平</w:t>
            </w:r>
          </w:p>
        </w:tc>
        <w:tc>
          <w:tcPr>
            <w:tcW w:w="1473" w:type="dxa"/>
            <w:gridSpan w:val="2"/>
          </w:tcPr>
          <w:p>
            <w:pPr>
              <w:spacing w:line="520" w:lineRule="exact"/>
              <w:rPr>
                <w:rFonts w:ascii="仿宋_GB2312" w:hAnsi="宋体" w:eastAsia="仿宋_GB2312" w:cs="宋体"/>
                <w:color w:val="333333"/>
                <w:kern w:val="0"/>
                <w:sz w:val="24"/>
                <w:szCs w:val="24"/>
              </w:rPr>
            </w:pPr>
          </w:p>
        </w:tc>
        <w:tc>
          <w:tcPr>
            <w:tcW w:w="1688" w:type="dxa"/>
            <w:gridSpan w:val="2"/>
          </w:tcPr>
          <w:p>
            <w:pPr>
              <w:spacing w:line="520" w:lineRule="exact"/>
              <w:rPr>
                <w:rFonts w:ascii="仿宋_GB2312" w:hAnsi="宋体" w:eastAsia="仿宋_GB2312" w:cs="宋体"/>
                <w:color w:val="333333"/>
                <w:kern w:val="0"/>
                <w:sz w:val="24"/>
                <w:szCs w:val="24"/>
              </w:rPr>
            </w:pPr>
            <w:r>
              <w:rPr>
                <w:rFonts w:ascii="仿宋_GB2312" w:hAnsi="宋体" w:eastAsia="仿宋_GB2312" w:cs="宋体"/>
                <w:color w:val="333333"/>
                <w:kern w:val="0"/>
                <w:sz w:val="24"/>
                <w:szCs w:val="24"/>
              </w:rPr>
              <w:t>普通话水平</w:t>
            </w:r>
          </w:p>
        </w:tc>
        <w:tc>
          <w:tcPr>
            <w:tcW w:w="1188" w:type="dxa"/>
            <w:gridSpan w:val="2"/>
          </w:tcPr>
          <w:p>
            <w:pPr>
              <w:spacing w:line="520" w:lineRule="exact"/>
              <w:rPr>
                <w:rFonts w:ascii="仿宋_GB2312" w:hAnsi="宋体" w:eastAsia="仿宋_GB2312" w:cs="宋体"/>
                <w:color w:val="333333"/>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502" w:type="dxa"/>
            <w:gridSpan w:val="2"/>
          </w:tcPr>
          <w:p>
            <w:pPr>
              <w:spacing w:line="520" w:lineRule="exact"/>
              <w:rPr>
                <w:rFonts w:ascii="仿宋_GB2312" w:hAnsi="宋体" w:eastAsia="仿宋_GB2312" w:cs="宋体"/>
                <w:color w:val="333333"/>
                <w:kern w:val="0"/>
                <w:sz w:val="24"/>
                <w:szCs w:val="24"/>
              </w:rPr>
            </w:pPr>
            <w:r>
              <w:rPr>
                <w:rFonts w:ascii="仿宋_GB2312" w:hAnsi="宋体" w:eastAsia="仿宋_GB2312" w:cs="宋体"/>
                <w:color w:val="333333"/>
                <w:kern w:val="0"/>
                <w:sz w:val="24"/>
                <w:szCs w:val="24"/>
              </w:rPr>
              <w:t>身份证号</w:t>
            </w:r>
          </w:p>
        </w:tc>
        <w:tc>
          <w:tcPr>
            <w:tcW w:w="2810" w:type="dxa"/>
            <w:gridSpan w:val="5"/>
          </w:tcPr>
          <w:p>
            <w:pPr>
              <w:spacing w:line="520" w:lineRule="exact"/>
              <w:rPr>
                <w:rFonts w:ascii="仿宋_GB2312" w:hAnsi="宋体" w:eastAsia="仿宋_GB2312" w:cs="宋体"/>
                <w:color w:val="333333"/>
                <w:kern w:val="0"/>
                <w:sz w:val="24"/>
                <w:szCs w:val="24"/>
              </w:rPr>
            </w:pPr>
          </w:p>
        </w:tc>
        <w:tc>
          <w:tcPr>
            <w:tcW w:w="1399" w:type="dxa"/>
          </w:tcPr>
          <w:p>
            <w:pPr>
              <w:spacing w:line="520" w:lineRule="exact"/>
              <w:rPr>
                <w:rFonts w:ascii="仿宋_GB2312" w:hAnsi="宋体" w:eastAsia="仿宋_GB2312" w:cs="宋体"/>
                <w:color w:val="333333"/>
                <w:kern w:val="0"/>
                <w:sz w:val="24"/>
                <w:szCs w:val="24"/>
              </w:rPr>
            </w:pPr>
            <w:r>
              <w:rPr>
                <w:rFonts w:ascii="仿宋_GB2312" w:hAnsi="宋体" w:eastAsia="仿宋_GB2312" w:cs="宋体"/>
                <w:color w:val="333333"/>
                <w:kern w:val="0"/>
                <w:sz w:val="24"/>
                <w:szCs w:val="24"/>
              </w:rPr>
              <w:t>应聘岗位</w:t>
            </w:r>
          </w:p>
        </w:tc>
        <w:tc>
          <w:tcPr>
            <w:tcW w:w="2950" w:type="dxa"/>
            <w:gridSpan w:val="5"/>
          </w:tcPr>
          <w:p>
            <w:pPr>
              <w:spacing w:line="520" w:lineRule="exact"/>
              <w:rPr>
                <w:rFonts w:ascii="仿宋_GB2312" w:hAnsi="宋体" w:eastAsia="仿宋_GB2312" w:cs="宋体"/>
                <w:color w:val="333333"/>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1502" w:type="dxa"/>
            <w:gridSpan w:val="2"/>
          </w:tcPr>
          <w:p>
            <w:pPr>
              <w:spacing w:line="520" w:lineRule="exact"/>
              <w:rPr>
                <w:rFonts w:ascii="仿宋_GB2312" w:hAnsi="宋体" w:eastAsia="仿宋_GB2312" w:cs="宋体"/>
                <w:color w:val="333333"/>
                <w:kern w:val="0"/>
                <w:sz w:val="24"/>
                <w:szCs w:val="24"/>
              </w:rPr>
            </w:pPr>
            <w:r>
              <w:rPr>
                <w:rFonts w:ascii="仿宋_GB2312" w:hAnsi="宋体" w:eastAsia="仿宋_GB2312" w:cs="宋体"/>
                <w:color w:val="333333"/>
                <w:kern w:val="0"/>
                <w:sz w:val="24"/>
                <w:szCs w:val="24"/>
              </w:rPr>
              <w:t>联系电话</w:t>
            </w:r>
          </w:p>
        </w:tc>
        <w:tc>
          <w:tcPr>
            <w:tcW w:w="4209" w:type="dxa"/>
            <w:gridSpan w:val="6"/>
          </w:tcPr>
          <w:p>
            <w:pPr>
              <w:spacing w:line="520" w:lineRule="exact"/>
              <w:rPr>
                <w:rFonts w:ascii="仿宋_GB2312" w:hAnsi="宋体" w:eastAsia="仿宋_GB2312" w:cs="宋体"/>
                <w:color w:val="333333"/>
                <w:kern w:val="0"/>
                <w:sz w:val="24"/>
                <w:szCs w:val="24"/>
              </w:rPr>
            </w:pPr>
          </w:p>
        </w:tc>
        <w:tc>
          <w:tcPr>
            <w:tcW w:w="1268" w:type="dxa"/>
            <w:gridSpan w:val="2"/>
          </w:tcPr>
          <w:p>
            <w:pPr>
              <w:spacing w:line="520" w:lineRule="exact"/>
              <w:rPr>
                <w:rFonts w:ascii="仿宋_GB2312" w:hAnsi="宋体" w:eastAsia="仿宋_GB2312" w:cs="宋体"/>
                <w:color w:val="333333"/>
                <w:kern w:val="0"/>
                <w:sz w:val="24"/>
                <w:szCs w:val="24"/>
              </w:rPr>
            </w:pPr>
            <w:r>
              <w:rPr>
                <w:rFonts w:ascii="仿宋_GB2312" w:hAnsi="宋体" w:eastAsia="仿宋_GB2312" w:cs="宋体"/>
                <w:color w:val="333333"/>
                <w:kern w:val="0"/>
                <w:sz w:val="24"/>
                <w:szCs w:val="24"/>
              </w:rPr>
              <w:t>邮箱</w:t>
            </w:r>
          </w:p>
        </w:tc>
        <w:tc>
          <w:tcPr>
            <w:tcW w:w="1682" w:type="dxa"/>
            <w:gridSpan w:val="3"/>
          </w:tcPr>
          <w:p>
            <w:pPr>
              <w:spacing w:line="520" w:lineRule="exact"/>
              <w:rPr>
                <w:rFonts w:ascii="仿宋_GB2312" w:hAnsi="宋体" w:eastAsia="仿宋_GB2312" w:cs="宋体"/>
                <w:color w:val="333333"/>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502" w:type="dxa"/>
            <w:gridSpan w:val="2"/>
          </w:tcPr>
          <w:p>
            <w:pPr>
              <w:spacing w:line="520" w:lineRule="exact"/>
              <w:rPr>
                <w:rFonts w:ascii="仿宋_GB2312" w:hAnsi="宋体" w:eastAsia="仿宋_GB2312" w:cs="宋体"/>
                <w:color w:val="333333"/>
                <w:kern w:val="0"/>
                <w:sz w:val="24"/>
                <w:szCs w:val="24"/>
              </w:rPr>
            </w:pPr>
            <w:r>
              <w:rPr>
                <w:rFonts w:ascii="仿宋_GB2312" w:hAnsi="宋体" w:eastAsia="仿宋_GB2312" w:cs="宋体"/>
                <w:color w:val="333333"/>
                <w:kern w:val="0"/>
                <w:sz w:val="24"/>
                <w:szCs w:val="24"/>
              </w:rPr>
              <w:t>通讯地址</w:t>
            </w:r>
          </w:p>
        </w:tc>
        <w:tc>
          <w:tcPr>
            <w:tcW w:w="4209" w:type="dxa"/>
            <w:gridSpan w:val="6"/>
          </w:tcPr>
          <w:p>
            <w:pPr>
              <w:spacing w:line="520" w:lineRule="exact"/>
              <w:rPr>
                <w:rFonts w:ascii="仿宋_GB2312" w:hAnsi="宋体" w:eastAsia="仿宋_GB2312" w:cs="宋体"/>
                <w:color w:val="333333"/>
                <w:kern w:val="0"/>
                <w:sz w:val="24"/>
                <w:szCs w:val="24"/>
              </w:rPr>
            </w:pPr>
          </w:p>
        </w:tc>
        <w:tc>
          <w:tcPr>
            <w:tcW w:w="1268" w:type="dxa"/>
            <w:gridSpan w:val="2"/>
          </w:tcPr>
          <w:p>
            <w:pPr>
              <w:spacing w:line="520" w:lineRule="exact"/>
              <w:rPr>
                <w:rFonts w:ascii="仿宋_GB2312" w:hAnsi="宋体" w:eastAsia="仿宋_GB2312" w:cs="宋体"/>
                <w:color w:val="333333"/>
                <w:kern w:val="0"/>
                <w:sz w:val="24"/>
                <w:szCs w:val="24"/>
              </w:rPr>
            </w:pPr>
            <w:r>
              <w:rPr>
                <w:rFonts w:ascii="仿宋_GB2312" w:hAnsi="宋体" w:eastAsia="仿宋_GB2312" w:cs="宋体"/>
                <w:color w:val="333333"/>
                <w:kern w:val="0"/>
                <w:sz w:val="24"/>
                <w:szCs w:val="24"/>
              </w:rPr>
              <w:t>邮编</w:t>
            </w:r>
          </w:p>
        </w:tc>
        <w:tc>
          <w:tcPr>
            <w:tcW w:w="1682" w:type="dxa"/>
            <w:gridSpan w:val="3"/>
          </w:tcPr>
          <w:p>
            <w:pPr>
              <w:spacing w:line="520" w:lineRule="exact"/>
              <w:rPr>
                <w:rFonts w:ascii="仿宋_GB2312" w:hAnsi="宋体" w:eastAsia="仿宋_GB2312" w:cs="宋体"/>
                <w:color w:val="333333"/>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661" w:type="dxa"/>
            <w:gridSpan w:val="13"/>
          </w:tcPr>
          <w:p>
            <w:pPr>
              <w:spacing w:line="520" w:lineRule="exact"/>
              <w:ind w:firstLine="2640" w:firstLineChars="1100"/>
              <w:rPr>
                <w:rFonts w:ascii="仿宋_GB2312" w:hAnsi="宋体" w:eastAsia="仿宋_GB2312" w:cs="宋体"/>
                <w:color w:val="333333"/>
                <w:kern w:val="0"/>
                <w:sz w:val="24"/>
                <w:szCs w:val="24"/>
              </w:rPr>
            </w:pPr>
            <w:r>
              <w:rPr>
                <w:rFonts w:hint="eastAsia" w:ascii="仿宋_GB2312" w:hAnsi="宋体" w:eastAsia="仿宋_GB2312" w:cs="宋体"/>
                <w:color w:val="333333"/>
                <w:kern w:val="0"/>
                <w:sz w:val="24"/>
                <w:szCs w:val="24"/>
              </w:rPr>
              <w:t>主要学习或工作时间经历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393" w:type="dxa"/>
          </w:tcPr>
          <w:p>
            <w:pPr>
              <w:spacing w:line="520" w:lineRule="exact"/>
              <w:jc w:val="center"/>
              <w:rPr>
                <w:rFonts w:ascii="仿宋_GB2312" w:hAnsi="宋体" w:eastAsia="仿宋_GB2312" w:cs="宋体"/>
                <w:color w:val="333333"/>
                <w:kern w:val="0"/>
                <w:sz w:val="24"/>
                <w:szCs w:val="24"/>
              </w:rPr>
            </w:pPr>
            <w:r>
              <w:rPr>
                <w:rFonts w:hint="eastAsia" w:ascii="仿宋_GB2312" w:hAnsi="宋体" w:eastAsia="仿宋_GB2312" w:cs="宋体"/>
                <w:color w:val="333333"/>
                <w:kern w:val="0"/>
                <w:sz w:val="24"/>
                <w:szCs w:val="24"/>
              </w:rPr>
              <w:t>起止年月</w:t>
            </w:r>
          </w:p>
        </w:tc>
        <w:tc>
          <w:tcPr>
            <w:tcW w:w="2289" w:type="dxa"/>
            <w:gridSpan w:val="5"/>
          </w:tcPr>
          <w:p>
            <w:pPr>
              <w:spacing w:line="520" w:lineRule="exact"/>
              <w:jc w:val="center"/>
              <w:rPr>
                <w:rFonts w:ascii="仿宋_GB2312" w:hAnsi="宋体" w:eastAsia="仿宋_GB2312" w:cs="宋体"/>
                <w:color w:val="333333"/>
                <w:kern w:val="0"/>
                <w:sz w:val="24"/>
                <w:szCs w:val="24"/>
              </w:rPr>
            </w:pPr>
            <w:r>
              <w:rPr>
                <w:rFonts w:hint="eastAsia" w:ascii="仿宋_GB2312" w:hAnsi="宋体" w:eastAsia="仿宋_GB2312" w:cs="宋体"/>
                <w:color w:val="333333"/>
                <w:kern w:val="0"/>
                <w:sz w:val="24"/>
                <w:szCs w:val="24"/>
              </w:rPr>
              <w:t>何地何部门</w:t>
            </w:r>
          </w:p>
        </w:tc>
        <w:tc>
          <w:tcPr>
            <w:tcW w:w="3861" w:type="dxa"/>
            <w:gridSpan w:val="6"/>
          </w:tcPr>
          <w:p>
            <w:pPr>
              <w:spacing w:line="520" w:lineRule="exact"/>
              <w:jc w:val="center"/>
              <w:rPr>
                <w:rFonts w:ascii="仿宋_GB2312" w:hAnsi="宋体" w:eastAsia="仿宋_GB2312" w:cs="宋体"/>
                <w:color w:val="333333"/>
                <w:kern w:val="0"/>
                <w:sz w:val="24"/>
                <w:szCs w:val="24"/>
              </w:rPr>
            </w:pPr>
            <w:r>
              <w:rPr>
                <w:rFonts w:hint="eastAsia" w:ascii="仿宋_GB2312" w:hAnsi="宋体" w:eastAsia="仿宋_GB2312" w:cs="宋体"/>
                <w:color w:val="333333"/>
                <w:kern w:val="0"/>
                <w:sz w:val="24"/>
                <w:szCs w:val="24"/>
              </w:rPr>
              <w:t>任职及获奖情况</w:t>
            </w:r>
          </w:p>
        </w:tc>
        <w:tc>
          <w:tcPr>
            <w:tcW w:w="1118" w:type="dxa"/>
          </w:tcPr>
          <w:p>
            <w:pPr>
              <w:spacing w:line="520" w:lineRule="exact"/>
              <w:jc w:val="center"/>
              <w:rPr>
                <w:rFonts w:ascii="仿宋_GB2312" w:hAnsi="宋体" w:eastAsia="仿宋_GB2312" w:cs="宋体"/>
                <w:color w:val="333333"/>
                <w:kern w:val="0"/>
                <w:sz w:val="24"/>
                <w:szCs w:val="24"/>
              </w:rPr>
            </w:pPr>
            <w:r>
              <w:rPr>
                <w:rFonts w:ascii="仿宋_GB2312" w:hAnsi="宋体" w:eastAsia="仿宋_GB2312" w:cs="宋体"/>
                <w:color w:val="333333"/>
                <w:kern w:val="0"/>
                <w:sz w:val="24"/>
                <w:szCs w:val="24"/>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393" w:type="dxa"/>
          </w:tcPr>
          <w:p>
            <w:pPr>
              <w:spacing w:line="520" w:lineRule="exact"/>
              <w:rPr>
                <w:rFonts w:ascii="仿宋_GB2312" w:hAnsi="宋体" w:eastAsia="仿宋_GB2312" w:cs="宋体"/>
                <w:color w:val="333333"/>
                <w:kern w:val="0"/>
                <w:sz w:val="24"/>
                <w:szCs w:val="24"/>
              </w:rPr>
            </w:pPr>
          </w:p>
        </w:tc>
        <w:tc>
          <w:tcPr>
            <w:tcW w:w="2289" w:type="dxa"/>
            <w:gridSpan w:val="5"/>
          </w:tcPr>
          <w:p>
            <w:pPr>
              <w:spacing w:line="520" w:lineRule="exact"/>
              <w:rPr>
                <w:rFonts w:ascii="仿宋_GB2312" w:hAnsi="宋体" w:eastAsia="仿宋_GB2312" w:cs="宋体"/>
                <w:color w:val="333333"/>
                <w:kern w:val="0"/>
                <w:sz w:val="24"/>
                <w:szCs w:val="24"/>
              </w:rPr>
            </w:pPr>
          </w:p>
        </w:tc>
        <w:tc>
          <w:tcPr>
            <w:tcW w:w="3861" w:type="dxa"/>
            <w:gridSpan w:val="6"/>
          </w:tcPr>
          <w:p>
            <w:pPr>
              <w:spacing w:line="520" w:lineRule="exact"/>
              <w:rPr>
                <w:rFonts w:ascii="仿宋_GB2312" w:hAnsi="宋体" w:eastAsia="仿宋_GB2312" w:cs="宋体"/>
                <w:color w:val="333333"/>
                <w:kern w:val="0"/>
                <w:sz w:val="24"/>
                <w:szCs w:val="24"/>
              </w:rPr>
            </w:pPr>
          </w:p>
        </w:tc>
        <w:tc>
          <w:tcPr>
            <w:tcW w:w="1118" w:type="dxa"/>
          </w:tcPr>
          <w:p>
            <w:pPr>
              <w:spacing w:line="520" w:lineRule="exact"/>
              <w:rPr>
                <w:rFonts w:ascii="仿宋_GB2312" w:hAnsi="宋体" w:eastAsia="仿宋_GB2312" w:cs="宋体"/>
                <w:color w:val="333333"/>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393" w:type="dxa"/>
          </w:tcPr>
          <w:p>
            <w:pPr>
              <w:spacing w:line="520" w:lineRule="exact"/>
              <w:rPr>
                <w:rFonts w:ascii="仿宋_GB2312" w:hAnsi="宋体" w:eastAsia="仿宋_GB2312" w:cs="宋体"/>
                <w:color w:val="333333"/>
                <w:kern w:val="0"/>
                <w:sz w:val="24"/>
                <w:szCs w:val="24"/>
              </w:rPr>
            </w:pPr>
          </w:p>
        </w:tc>
        <w:tc>
          <w:tcPr>
            <w:tcW w:w="2289" w:type="dxa"/>
            <w:gridSpan w:val="5"/>
          </w:tcPr>
          <w:p>
            <w:pPr>
              <w:spacing w:line="520" w:lineRule="exact"/>
              <w:rPr>
                <w:rFonts w:ascii="仿宋_GB2312" w:hAnsi="宋体" w:eastAsia="仿宋_GB2312" w:cs="宋体"/>
                <w:color w:val="333333"/>
                <w:kern w:val="0"/>
                <w:sz w:val="24"/>
                <w:szCs w:val="24"/>
              </w:rPr>
            </w:pPr>
          </w:p>
        </w:tc>
        <w:tc>
          <w:tcPr>
            <w:tcW w:w="3861" w:type="dxa"/>
            <w:gridSpan w:val="6"/>
          </w:tcPr>
          <w:p>
            <w:pPr>
              <w:spacing w:line="520" w:lineRule="exact"/>
              <w:rPr>
                <w:rFonts w:ascii="仿宋_GB2312" w:hAnsi="宋体" w:eastAsia="仿宋_GB2312" w:cs="宋体"/>
                <w:color w:val="333333"/>
                <w:kern w:val="0"/>
                <w:sz w:val="24"/>
                <w:szCs w:val="24"/>
              </w:rPr>
            </w:pPr>
          </w:p>
        </w:tc>
        <w:tc>
          <w:tcPr>
            <w:tcW w:w="1118" w:type="dxa"/>
          </w:tcPr>
          <w:p>
            <w:pPr>
              <w:spacing w:line="520" w:lineRule="exact"/>
              <w:rPr>
                <w:rFonts w:ascii="仿宋_GB2312" w:hAnsi="宋体" w:eastAsia="仿宋_GB2312" w:cs="宋体"/>
                <w:color w:val="333333"/>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393" w:type="dxa"/>
          </w:tcPr>
          <w:p>
            <w:pPr>
              <w:spacing w:line="520" w:lineRule="exact"/>
              <w:rPr>
                <w:rFonts w:ascii="仿宋_GB2312" w:hAnsi="宋体" w:eastAsia="仿宋_GB2312" w:cs="宋体"/>
                <w:color w:val="333333"/>
                <w:kern w:val="0"/>
                <w:sz w:val="24"/>
                <w:szCs w:val="24"/>
              </w:rPr>
            </w:pPr>
          </w:p>
        </w:tc>
        <w:tc>
          <w:tcPr>
            <w:tcW w:w="2289" w:type="dxa"/>
            <w:gridSpan w:val="5"/>
          </w:tcPr>
          <w:p>
            <w:pPr>
              <w:spacing w:line="520" w:lineRule="exact"/>
              <w:rPr>
                <w:rFonts w:ascii="仿宋_GB2312" w:hAnsi="宋体" w:eastAsia="仿宋_GB2312" w:cs="宋体"/>
                <w:color w:val="333333"/>
                <w:kern w:val="0"/>
                <w:sz w:val="24"/>
                <w:szCs w:val="24"/>
              </w:rPr>
            </w:pPr>
          </w:p>
        </w:tc>
        <w:tc>
          <w:tcPr>
            <w:tcW w:w="3861" w:type="dxa"/>
            <w:gridSpan w:val="6"/>
          </w:tcPr>
          <w:p>
            <w:pPr>
              <w:spacing w:line="520" w:lineRule="exact"/>
              <w:rPr>
                <w:rFonts w:ascii="仿宋_GB2312" w:hAnsi="宋体" w:eastAsia="仿宋_GB2312" w:cs="宋体"/>
                <w:color w:val="333333"/>
                <w:kern w:val="0"/>
                <w:sz w:val="24"/>
                <w:szCs w:val="24"/>
              </w:rPr>
            </w:pPr>
          </w:p>
        </w:tc>
        <w:tc>
          <w:tcPr>
            <w:tcW w:w="1118" w:type="dxa"/>
          </w:tcPr>
          <w:p>
            <w:pPr>
              <w:spacing w:line="520" w:lineRule="exact"/>
              <w:rPr>
                <w:rFonts w:ascii="仿宋_GB2312" w:hAnsi="宋体" w:eastAsia="仿宋_GB2312" w:cs="宋体"/>
                <w:color w:val="333333"/>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393" w:type="dxa"/>
          </w:tcPr>
          <w:p>
            <w:pPr>
              <w:spacing w:line="520" w:lineRule="exact"/>
              <w:rPr>
                <w:rFonts w:ascii="仿宋_GB2312" w:hAnsi="宋体" w:eastAsia="仿宋_GB2312" w:cs="宋体"/>
                <w:color w:val="333333"/>
                <w:kern w:val="0"/>
                <w:sz w:val="24"/>
                <w:szCs w:val="24"/>
              </w:rPr>
            </w:pPr>
          </w:p>
        </w:tc>
        <w:tc>
          <w:tcPr>
            <w:tcW w:w="2289" w:type="dxa"/>
            <w:gridSpan w:val="5"/>
          </w:tcPr>
          <w:p>
            <w:pPr>
              <w:spacing w:line="520" w:lineRule="exact"/>
              <w:rPr>
                <w:rFonts w:ascii="仿宋_GB2312" w:hAnsi="宋体" w:eastAsia="仿宋_GB2312" w:cs="宋体"/>
                <w:color w:val="333333"/>
                <w:kern w:val="0"/>
                <w:sz w:val="24"/>
                <w:szCs w:val="24"/>
              </w:rPr>
            </w:pPr>
          </w:p>
        </w:tc>
        <w:tc>
          <w:tcPr>
            <w:tcW w:w="3861" w:type="dxa"/>
            <w:gridSpan w:val="6"/>
          </w:tcPr>
          <w:p>
            <w:pPr>
              <w:spacing w:line="520" w:lineRule="exact"/>
              <w:rPr>
                <w:rFonts w:ascii="仿宋_GB2312" w:hAnsi="宋体" w:eastAsia="仿宋_GB2312" w:cs="宋体"/>
                <w:color w:val="333333"/>
                <w:kern w:val="0"/>
                <w:sz w:val="24"/>
                <w:szCs w:val="24"/>
              </w:rPr>
            </w:pPr>
          </w:p>
        </w:tc>
        <w:tc>
          <w:tcPr>
            <w:tcW w:w="1118" w:type="dxa"/>
          </w:tcPr>
          <w:p>
            <w:pPr>
              <w:spacing w:line="520" w:lineRule="exact"/>
              <w:rPr>
                <w:rFonts w:ascii="仿宋_GB2312" w:hAnsi="宋体" w:eastAsia="仿宋_GB2312" w:cs="宋体"/>
                <w:color w:val="333333"/>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393" w:type="dxa"/>
          </w:tcPr>
          <w:p>
            <w:pPr>
              <w:spacing w:line="520" w:lineRule="exact"/>
              <w:rPr>
                <w:rFonts w:ascii="仿宋_GB2312" w:hAnsi="宋体" w:eastAsia="仿宋_GB2312" w:cs="宋体"/>
                <w:color w:val="333333"/>
                <w:kern w:val="0"/>
                <w:sz w:val="24"/>
                <w:szCs w:val="24"/>
              </w:rPr>
            </w:pPr>
          </w:p>
        </w:tc>
        <w:tc>
          <w:tcPr>
            <w:tcW w:w="2289" w:type="dxa"/>
            <w:gridSpan w:val="5"/>
          </w:tcPr>
          <w:p>
            <w:pPr>
              <w:spacing w:line="520" w:lineRule="exact"/>
              <w:rPr>
                <w:rFonts w:ascii="仿宋_GB2312" w:hAnsi="宋体" w:eastAsia="仿宋_GB2312" w:cs="宋体"/>
                <w:color w:val="333333"/>
                <w:kern w:val="0"/>
                <w:sz w:val="24"/>
                <w:szCs w:val="24"/>
              </w:rPr>
            </w:pPr>
          </w:p>
        </w:tc>
        <w:tc>
          <w:tcPr>
            <w:tcW w:w="3861" w:type="dxa"/>
            <w:gridSpan w:val="6"/>
          </w:tcPr>
          <w:p>
            <w:pPr>
              <w:spacing w:line="520" w:lineRule="exact"/>
              <w:rPr>
                <w:rFonts w:ascii="仿宋_GB2312" w:hAnsi="宋体" w:eastAsia="仿宋_GB2312" w:cs="宋体"/>
                <w:color w:val="333333"/>
                <w:kern w:val="0"/>
                <w:sz w:val="24"/>
                <w:szCs w:val="24"/>
              </w:rPr>
            </w:pPr>
          </w:p>
        </w:tc>
        <w:tc>
          <w:tcPr>
            <w:tcW w:w="1118" w:type="dxa"/>
          </w:tcPr>
          <w:p>
            <w:pPr>
              <w:spacing w:line="520" w:lineRule="exact"/>
              <w:rPr>
                <w:rFonts w:ascii="仿宋_GB2312" w:hAnsi="宋体" w:eastAsia="仿宋_GB2312" w:cs="宋体"/>
                <w:color w:val="333333"/>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8661" w:type="dxa"/>
            <w:gridSpan w:val="13"/>
          </w:tcPr>
          <w:p>
            <w:pPr>
              <w:spacing w:line="520" w:lineRule="exact"/>
              <w:jc w:val="center"/>
              <w:rPr>
                <w:rFonts w:ascii="仿宋_GB2312" w:hAnsi="宋体" w:eastAsia="仿宋_GB2312" w:cs="宋体"/>
                <w:color w:val="333333"/>
                <w:kern w:val="0"/>
                <w:sz w:val="24"/>
                <w:szCs w:val="24"/>
              </w:rPr>
            </w:pPr>
            <w:r>
              <w:rPr>
                <w:rFonts w:ascii="仿宋_GB2312" w:hAnsi="宋体" w:eastAsia="仿宋_GB2312" w:cs="宋体"/>
                <w:color w:val="333333"/>
                <w:kern w:val="0"/>
                <w:sz w:val="24"/>
                <w:szCs w:val="24"/>
              </w:rPr>
              <w:t>个人自荐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7" w:hRule="atLeast"/>
        </w:trPr>
        <w:tc>
          <w:tcPr>
            <w:tcW w:w="8661" w:type="dxa"/>
            <w:gridSpan w:val="13"/>
          </w:tcPr>
          <w:p>
            <w:pPr>
              <w:spacing w:line="520" w:lineRule="exact"/>
              <w:rPr>
                <w:rFonts w:ascii="仿宋_GB2312" w:hAnsi="宋体" w:eastAsia="仿宋_GB2312" w:cs="宋体"/>
                <w:color w:val="333333"/>
                <w:kern w:val="0"/>
                <w:sz w:val="24"/>
                <w:szCs w:val="24"/>
              </w:rPr>
            </w:pPr>
          </w:p>
          <w:p>
            <w:pPr>
              <w:spacing w:line="520" w:lineRule="exact"/>
              <w:rPr>
                <w:rFonts w:ascii="仿宋_GB2312" w:hAnsi="宋体" w:eastAsia="仿宋_GB2312" w:cs="宋体"/>
                <w:color w:val="333333"/>
                <w:kern w:val="0"/>
                <w:sz w:val="24"/>
                <w:szCs w:val="24"/>
              </w:rPr>
            </w:pPr>
          </w:p>
          <w:p>
            <w:pPr>
              <w:spacing w:line="520" w:lineRule="exact"/>
              <w:rPr>
                <w:rFonts w:ascii="仿宋_GB2312" w:hAnsi="宋体" w:eastAsia="仿宋_GB2312" w:cs="宋体"/>
                <w:color w:val="333333"/>
                <w:kern w:val="0"/>
                <w:sz w:val="24"/>
                <w:szCs w:val="24"/>
              </w:rPr>
            </w:pPr>
          </w:p>
          <w:p>
            <w:pPr>
              <w:spacing w:line="520" w:lineRule="exact"/>
              <w:rPr>
                <w:rFonts w:ascii="仿宋_GB2312" w:hAnsi="宋体" w:eastAsia="仿宋_GB2312" w:cs="宋体"/>
                <w:color w:val="333333"/>
                <w:kern w:val="0"/>
                <w:sz w:val="24"/>
                <w:szCs w:val="24"/>
              </w:rPr>
            </w:pPr>
          </w:p>
          <w:p>
            <w:pPr>
              <w:spacing w:line="520" w:lineRule="exact"/>
              <w:rPr>
                <w:rFonts w:ascii="仿宋_GB2312" w:hAnsi="宋体" w:eastAsia="仿宋_GB2312" w:cs="宋体"/>
                <w:color w:val="333333"/>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trPr>
        <w:tc>
          <w:tcPr>
            <w:tcW w:w="8661" w:type="dxa"/>
            <w:gridSpan w:val="13"/>
          </w:tcPr>
          <w:p>
            <w:pPr>
              <w:spacing w:line="520" w:lineRule="exact"/>
              <w:rPr>
                <w:rFonts w:hint="eastAsia" w:ascii="仿宋_GB2312" w:hAnsi="宋体" w:eastAsia="仿宋_GB2312" w:cs="宋体"/>
                <w:color w:val="333333"/>
                <w:kern w:val="0"/>
                <w:sz w:val="24"/>
                <w:szCs w:val="24"/>
              </w:rPr>
            </w:pPr>
            <w:r>
              <w:rPr>
                <w:rFonts w:hint="eastAsia" w:ascii="仿宋_GB2312" w:hAnsi="宋体" w:eastAsia="仿宋_GB2312" w:cs="宋体"/>
                <w:color w:val="333333"/>
                <w:kern w:val="0"/>
                <w:sz w:val="24"/>
                <w:szCs w:val="24"/>
              </w:rPr>
              <w:t>备注</w:t>
            </w:r>
          </w:p>
          <w:p>
            <w:pPr>
              <w:spacing w:line="520" w:lineRule="exact"/>
              <w:rPr>
                <w:rFonts w:hint="eastAsia" w:ascii="仿宋_GB2312" w:hAnsi="宋体" w:eastAsia="仿宋_GB2312" w:cs="宋体"/>
                <w:color w:val="333333"/>
                <w:kern w:val="0"/>
                <w:sz w:val="24"/>
                <w:szCs w:val="24"/>
              </w:rPr>
            </w:pPr>
          </w:p>
        </w:tc>
      </w:tr>
    </w:tbl>
    <w:p>
      <w:pPr>
        <w:rPr>
          <w:sz w:val="28"/>
          <w:szCs w:val="28"/>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2F0"/>
    <w:rsid w:val="0001700E"/>
    <w:rsid w:val="00024FA2"/>
    <w:rsid w:val="0003487E"/>
    <w:rsid w:val="0004476B"/>
    <w:rsid w:val="00053CD2"/>
    <w:rsid w:val="000A30B0"/>
    <w:rsid w:val="000F3250"/>
    <w:rsid w:val="0011628B"/>
    <w:rsid w:val="00135F02"/>
    <w:rsid w:val="00172477"/>
    <w:rsid w:val="00175DC6"/>
    <w:rsid w:val="00194A6E"/>
    <w:rsid w:val="001D1F16"/>
    <w:rsid w:val="001F3F7D"/>
    <w:rsid w:val="002216F9"/>
    <w:rsid w:val="0022750E"/>
    <w:rsid w:val="00232BEB"/>
    <w:rsid w:val="002375AC"/>
    <w:rsid w:val="00261671"/>
    <w:rsid w:val="0029792B"/>
    <w:rsid w:val="002C4BFC"/>
    <w:rsid w:val="002E69A7"/>
    <w:rsid w:val="00343D5B"/>
    <w:rsid w:val="00344EB7"/>
    <w:rsid w:val="003528F1"/>
    <w:rsid w:val="00355121"/>
    <w:rsid w:val="0039481F"/>
    <w:rsid w:val="003A0E65"/>
    <w:rsid w:val="003B2F44"/>
    <w:rsid w:val="003B7B4E"/>
    <w:rsid w:val="003F17D5"/>
    <w:rsid w:val="00400D8C"/>
    <w:rsid w:val="00412009"/>
    <w:rsid w:val="00425647"/>
    <w:rsid w:val="00433D7A"/>
    <w:rsid w:val="004A02FF"/>
    <w:rsid w:val="004A6EB1"/>
    <w:rsid w:val="004B276E"/>
    <w:rsid w:val="004C5D45"/>
    <w:rsid w:val="004F1A7D"/>
    <w:rsid w:val="0050454C"/>
    <w:rsid w:val="00510F68"/>
    <w:rsid w:val="005554DA"/>
    <w:rsid w:val="00557DC8"/>
    <w:rsid w:val="005715E7"/>
    <w:rsid w:val="005716FC"/>
    <w:rsid w:val="005A1D52"/>
    <w:rsid w:val="005E7434"/>
    <w:rsid w:val="00636E54"/>
    <w:rsid w:val="00640B9C"/>
    <w:rsid w:val="00683EBF"/>
    <w:rsid w:val="00697352"/>
    <w:rsid w:val="006A4C35"/>
    <w:rsid w:val="006C152C"/>
    <w:rsid w:val="006E6EED"/>
    <w:rsid w:val="006E7650"/>
    <w:rsid w:val="006E7E0D"/>
    <w:rsid w:val="007159E2"/>
    <w:rsid w:val="00736C01"/>
    <w:rsid w:val="00767007"/>
    <w:rsid w:val="00770028"/>
    <w:rsid w:val="007B7E65"/>
    <w:rsid w:val="007E26A2"/>
    <w:rsid w:val="007E6983"/>
    <w:rsid w:val="008052F7"/>
    <w:rsid w:val="00840AFD"/>
    <w:rsid w:val="00875CFD"/>
    <w:rsid w:val="00893841"/>
    <w:rsid w:val="008B3835"/>
    <w:rsid w:val="008B5ED6"/>
    <w:rsid w:val="008D105D"/>
    <w:rsid w:val="008F6862"/>
    <w:rsid w:val="00916BE9"/>
    <w:rsid w:val="009312CD"/>
    <w:rsid w:val="00931564"/>
    <w:rsid w:val="00935EA0"/>
    <w:rsid w:val="009457D2"/>
    <w:rsid w:val="009572F0"/>
    <w:rsid w:val="009777CF"/>
    <w:rsid w:val="009859C4"/>
    <w:rsid w:val="009A5F95"/>
    <w:rsid w:val="00A16AD5"/>
    <w:rsid w:val="00A403EB"/>
    <w:rsid w:val="00A4616F"/>
    <w:rsid w:val="00A66E96"/>
    <w:rsid w:val="00A71F03"/>
    <w:rsid w:val="00A777A2"/>
    <w:rsid w:val="00AC31B2"/>
    <w:rsid w:val="00AD46DA"/>
    <w:rsid w:val="00AD4E26"/>
    <w:rsid w:val="00AE5D6A"/>
    <w:rsid w:val="00AF610E"/>
    <w:rsid w:val="00B11DFF"/>
    <w:rsid w:val="00B11E14"/>
    <w:rsid w:val="00B26526"/>
    <w:rsid w:val="00B26C7C"/>
    <w:rsid w:val="00B579AD"/>
    <w:rsid w:val="00B620A2"/>
    <w:rsid w:val="00B633CB"/>
    <w:rsid w:val="00B81B1D"/>
    <w:rsid w:val="00B93DF8"/>
    <w:rsid w:val="00B94267"/>
    <w:rsid w:val="00B94988"/>
    <w:rsid w:val="00B958D1"/>
    <w:rsid w:val="00BB60DD"/>
    <w:rsid w:val="00BD5D0C"/>
    <w:rsid w:val="00BE3A4D"/>
    <w:rsid w:val="00BF472F"/>
    <w:rsid w:val="00C4248A"/>
    <w:rsid w:val="00C47DF1"/>
    <w:rsid w:val="00C54AEE"/>
    <w:rsid w:val="00C54FA4"/>
    <w:rsid w:val="00C75B63"/>
    <w:rsid w:val="00C77E9A"/>
    <w:rsid w:val="00C846C2"/>
    <w:rsid w:val="00CA0B34"/>
    <w:rsid w:val="00CB6F5D"/>
    <w:rsid w:val="00CC1F47"/>
    <w:rsid w:val="00CC4E95"/>
    <w:rsid w:val="00CC7BAE"/>
    <w:rsid w:val="00CD2A3F"/>
    <w:rsid w:val="00CD3CBA"/>
    <w:rsid w:val="00CD4974"/>
    <w:rsid w:val="00D2204A"/>
    <w:rsid w:val="00D22FF6"/>
    <w:rsid w:val="00D264DD"/>
    <w:rsid w:val="00D46707"/>
    <w:rsid w:val="00D665D8"/>
    <w:rsid w:val="00D72F29"/>
    <w:rsid w:val="00D773E9"/>
    <w:rsid w:val="00D84E13"/>
    <w:rsid w:val="00D9608F"/>
    <w:rsid w:val="00D97817"/>
    <w:rsid w:val="00DF25D9"/>
    <w:rsid w:val="00DF337C"/>
    <w:rsid w:val="00E2013E"/>
    <w:rsid w:val="00E26174"/>
    <w:rsid w:val="00E31240"/>
    <w:rsid w:val="00E37275"/>
    <w:rsid w:val="00E409D6"/>
    <w:rsid w:val="00E60FDC"/>
    <w:rsid w:val="00E7664C"/>
    <w:rsid w:val="00E769CD"/>
    <w:rsid w:val="00E963BA"/>
    <w:rsid w:val="00EB2038"/>
    <w:rsid w:val="00EC0A86"/>
    <w:rsid w:val="00EC0D8B"/>
    <w:rsid w:val="00EE68AF"/>
    <w:rsid w:val="00EF2885"/>
    <w:rsid w:val="00F04970"/>
    <w:rsid w:val="00F12B7A"/>
    <w:rsid w:val="00F3756E"/>
    <w:rsid w:val="00F53D78"/>
    <w:rsid w:val="00F66DD1"/>
    <w:rsid w:val="00F82319"/>
    <w:rsid w:val="00F855F9"/>
    <w:rsid w:val="00FA6F5B"/>
    <w:rsid w:val="00FD1F93"/>
    <w:rsid w:val="01073DC6"/>
    <w:rsid w:val="01786D97"/>
    <w:rsid w:val="0254697B"/>
    <w:rsid w:val="0452639A"/>
    <w:rsid w:val="048A5089"/>
    <w:rsid w:val="04E92237"/>
    <w:rsid w:val="054F561A"/>
    <w:rsid w:val="059A73D7"/>
    <w:rsid w:val="063D2D32"/>
    <w:rsid w:val="06A34D37"/>
    <w:rsid w:val="06B63AEE"/>
    <w:rsid w:val="06D02916"/>
    <w:rsid w:val="06F62B2E"/>
    <w:rsid w:val="07236B02"/>
    <w:rsid w:val="07D43191"/>
    <w:rsid w:val="07DE0913"/>
    <w:rsid w:val="08316347"/>
    <w:rsid w:val="08975DA9"/>
    <w:rsid w:val="099A46B4"/>
    <w:rsid w:val="0A0E122C"/>
    <w:rsid w:val="0A4A7818"/>
    <w:rsid w:val="0A77087B"/>
    <w:rsid w:val="0B6471CB"/>
    <w:rsid w:val="0C216617"/>
    <w:rsid w:val="0CFC11C0"/>
    <w:rsid w:val="0D050202"/>
    <w:rsid w:val="0E2334F3"/>
    <w:rsid w:val="10277C5F"/>
    <w:rsid w:val="10935338"/>
    <w:rsid w:val="12B64734"/>
    <w:rsid w:val="12E723F3"/>
    <w:rsid w:val="13DB0528"/>
    <w:rsid w:val="1413759E"/>
    <w:rsid w:val="14882FB4"/>
    <w:rsid w:val="160C3DE6"/>
    <w:rsid w:val="16513FE6"/>
    <w:rsid w:val="174B374F"/>
    <w:rsid w:val="17922B09"/>
    <w:rsid w:val="17FD7FA3"/>
    <w:rsid w:val="18693BDA"/>
    <w:rsid w:val="18D51F66"/>
    <w:rsid w:val="18D75C0A"/>
    <w:rsid w:val="191543F2"/>
    <w:rsid w:val="19924182"/>
    <w:rsid w:val="19B600AF"/>
    <w:rsid w:val="19F5215C"/>
    <w:rsid w:val="1A7019FE"/>
    <w:rsid w:val="1A8F78AF"/>
    <w:rsid w:val="1A9A4F34"/>
    <w:rsid w:val="1AC542D7"/>
    <w:rsid w:val="1AEC6235"/>
    <w:rsid w:val="1B5F35A1"/>
    <w:rsid w:val="1B9758CB"/>
    <w:rsid w:val="1BD05D6B"/>
    <w:rsid w:val="1C47185A"/>
    <w:rsid w:val="1CE15F99"/>
    <w:rsid w:val="1DD378D4"/>
    <w:rsid w:val="1DE44D37"/>
    <w:rsid w:val="1DE45F03"/>
    <w:rsid w:val="1DF64C10"/>
    <w:rsid w:val="201D0FE9"/>
    <w:rsid w:val="20DF7D0C"/>
    <w:rsid w:val="20E871B1"/>
    <w:rsid w:val="21DD532C"/>
    <w:rsid w:val="22734E3A"/>
    <w:rsid w:val="23D352BC"/>
    <w:rsid w:val="23FD6A97"/>
    <w:rsid w:val="24155803"/>
    <w:rsid w:val="24867E4B"/>
    <w:rsid w:val="24A97F2A"/>
    <w:rsid w:val="24EF66F8"/>
    <w:rsid w:val="25862217"/>
    <w:rsid w:val="25B05FF3"/>
    <w:rsid w:val="25B27374"/>
    <w:rsid w:val="26B4397B"/>
    <w:rsid w:val="271D37B6"/>
    <w:rsid w:val="276F3399"/>
    <w:rsid w:val="28585CDC"/>
    <w:rsid w:val="28733787"/>
    <w:rsid w:val="29377169"/>
    <w:rsid w:val="299F57EE"/>
    <w:rsid w:val="2A34752D"/>
    <w:rsid w:val="2C0670A4"/>
    <w:rsid w:val="2C691EA2"/>
    <w:rsid w:val="2C7264E2"/>
    <w:rsid w:val="2CE80C6B"/>
    <w:rsid w:val="2DA66DDB"/>
    <w:rsid w:val="2DB33662"/>
    <w:rsid w:val="2E013C35"/>
    <w:rsid w:val="2E725173"/>
    <w:rsid w:val="2EB1109C"/>
    <w:rsid w:val="2FB00D93"/>
    <w:rsid w:val="2FFB5BEE"/>
    <w:rsid w:val="30257184"/>
    <w:rsid w:val="30472870"/>
    <w:rsid w:val="30D47231"/>
    <w:rsid w:val="3143062E"/>
    <w:rsid w:val="327B7977"/>
    <w:rsid w:val="32A76F7C"/>
    <w:rsid w:val="32FF6CB3"/>
    <w:rsid w:val="332114D5"/>
    <w:rsid w:val="33C43F60"/>
    <w:rsid w:val="34C25029"/>
    <w:rsid w:val="354F0F09"/>
    <w:rsid w:val="355C382D"/>
    <w:rsid w:val="35B37B02"/>
    <w:rsid w:val="36434F33"/>
    <w:rsid w:val="36732E84"/>
    <w:rsid w:val="372F446D"/>
    <w:rsid w:val="3747533D"/>
    <w:rsid w:val="37E31936"/>
    <w:rsid w:val="37EA39FF"/>
    <w:rsid w:val="38990B02"/>
    <w:rsid w:val="38B60B9E"/>
    <w:rsid w:val="3A7067DC"/>
    <w:rsid w:val="3AC72832"/>
    <w:rsid w:val="3AF11D76"/>
    <w:rsid w:val="3B0577F1"/>
    <w:rsid w:val="3BEA49C9"/>
    <w:rsid w:val="3C2157A2"/>
    <w:rsid w:val="3CCA7523"/>
    <w:rsid w:val="3D764B02"/>
    <w:rsid w:val="3D9708C4"/>
    <w:rsid w:val="3DAF5A77"/>
    <w:rsid w:val="3DED0030"/>
    <w:rsid w:val="3E0118DC"/>
    <w:rsid w:val="3E65598C"/>
    <w:rsid w:val="3F6A57CD"/>
    <w:rsid w:val="3FF6099E"/>
    <w:rsid w:val="40C94E07"/>
    <w:rsid w:val="40D97F21"/>
    <w:rsid w:val="40FD14F0"/>
    <w:rsid w:val="41633B67"/>
    <w:rsid w:val="416C3ACB"/>
    <w:rsid w:val="41DB27B4"/>
    <w:rsid w:val="438D4D20"/>
    <w:rsid w:val="43ED6C73"/>
    <w:rsid w:val="43FE4602"/>
    <w:rsid w:val="45511937"/>
    <w:rsid w:val="458F11F6"/>
    <w:rsid w:val="460E4CAA"/>
    <w:rsid w:val="46B83BBC"/>
    <w:rsid w:val="486B350D"/>
    <w:rsid w:val="48F979E4"/>
    <w:rsid w:val="4A9C22CC"/>
    <w:rsid w:val="4D0F45E0"/>
    <w:rsid w:val="4E2A52E1"/>
    <w:rsid w:val="4E3E0DF8"/>
    <w:rsid w:val="4E4D529E"/>
    <w:rsid w:val="4EA90A9B"/>
    <w:rsid w:val="4F024859"/>
    <w:rsid w:val="4F28068F"/>
    <w:rsid w:val="4F5A7445"/>
    <w:rsid w:val="504761E7"/>
    <w:rsid w:val="506121AC"/>
    <w:rsid w:val="50655428"/>
    <w:rsid w:val="509A6E91"/>
    <w:rsid w:val="51077149"/>
    <w:rsid w:val="513623B2"/>
    <w:rsid w:val="516F4F3C"/>
    <w:rsid w:val="51A479DA"/>
    <w:rsid w:val="51A62A5F"/>
    <w:rsid w:val="51ED4643"/>
    <w:rsid w:val="52345FD1"/>
    <w:rsid w:val="525823AF"/>
    <w:rsid w:val="52C15C52"/>
    <w:rsid w:val="53242C55"/>
    <w:rsid w:val="53E55697"/>
    <w:rsid w:val="53EB59C9"/>
    <w:rsid w:val="540E44C2"/>
    <w:rsid w:val="541F2A62"/>
    <w:rsid w:val="543037D7"/>
    <w:rsid w:val="54B54C87"/>
    <w:rsid w:val="54BF7160"/>
    <w:rsid w:val="54C274FE"/>
    <w:rsid w:val="550C46C5"/>
    <w:rsid w:val="5521694F"/>
    <w:rsid w:val="568C1A0B"/>
    <w:rsid w:val="57195D45"/>
    <w:rsid w:val="57590FD5"/>
    <w:rsid w:val="58B839EF"/>
    <w:rsid w:val="59117879"/>
    <w:rsid w:val="59692794"/>
    <w:rsid w:val="59A60F9E"/>
    <w:rsid w:val="59DC11BF"/>
    <w:rsid w:val="59E42E64"/>
    <w:rsid w:val="5CB553C6"/>
    <w:rsid w:val="5D5530BF"/>
    <w:rsid w:val="5D6543E7"/>
    <w:rsid w:val="5DA5417C"/>
    <w:rsid w:val="5DF87865"/>
    <w:rsid w:val="5E1A0BF0"/>
    <w:rsid w:val="5EE76D7A"/>
    <w:rsid w:val="5F0B334A"/>
    <w:rsid w:val="5F1D6B49"/>
    <w:rsid w:val="5F1F5C8F"/>
    <w:rsid w:val="5FC33023"/>
    <w:rsid w:val="60E94806"/>
    <w:rsid w:val="61166CA0"/>
    <w:rsid w:val="6240176B"/>
    <w:rsid w:val="628628E4"/>
    <w:rsid w:val="63644042"/>
    <w:rsid w:val="63C640AF"/>
    <w:rsid w:val="64B47F62"/>
    <w:rsid w:val="653F5E2C"/>
    <w:rsid w:val="665829F8"/>
    <w:rsid w:val="668242AD"/>
    <w:rsid w:val="66865E7D"/>
    <w:rsid w:val="66B233B0"/>
    <w:rsid w:val="672A6498"/>
    <w:rsid w:val="67496057"/>
    <w:rsid w:val="67AC4EB9"/>
    <w:rsid w:val="67CB74E1"/>
    <w:rsid w:val="67F50DCD"/>
    <w:rsid w:val="68132DFB"/>
    <w:rsid w:val="68A86B40"/>
    <w:rsid w:val="68C7150A"/>
    <w:rsid w:val="698A6A8A"/>
    <w:rsid w:val="69B47CA1"/>
    <w:rsid w:val="6A55758A"/>
    <w:rsid w:val="6AE74995"/>
    <w:rsid w:val="6B673EE3"/>
    <w:rsid w:val="6BAF5CEF"/>
    <w:rsid w:val="6BE54F28"/>
    <w:rsid w:val="6C2B37BA"/>
    <w:rsid w:val="6C30316C"/>
    <w:rsid w:val="6C3933D4"/>
    <w:rsid w:val="6C9B1044"/>
    <w:rsid w:val="6CDA191A"/>
    <w:rsid w:val="6CFD33FF"/>
    <w:rsid w:val="6D13447B"/>
    <w:rsid w:val="6D24617C"/>
    <w:rsid w:val="6D257FA5"/>
    <w:rsid w:val="6D7C6954"/>
    <w:rsid w:val="6DBE2E2F"/>
    <w:rsid w:val="6E146AAA"/>
    <w:rsid w:val="6E2F7236"/>
    <w:rsid w:val="6EC557D2"/>
    <w:rsid w:val="705C49A8"/>
    <w:rsid w:val="705E4B7C"/>
    <w:rsid w:val="712D620E"/>
    <w:rsid w:val="71FC3986"/>
    <w:rsid w:val="734F4268"/>
    <w:rsid w:val="73D9118D"/>
    <w:rsid w:val="73EF5668"/>
    <w:rsid w:val="74326C7F"/>
    <w:rsid w:val="746A215A"/>
    <w:rsid w:val="74E30534"/>
    <w:rsid w:val="7516320F"/>
    <w:rsid w:val="75980B28"/>
    <w:rsid w:val="76C82C2F"/>
    <w:rsid w:val="77033AE4"/>
    <w:rsid w:val="7747537E"/>
    <w:rsid w:val="78163BF3"/>
    <w:rsid w:val="79D65A6E"/>
    <w:rsid w:val="7A564CFE"/>
    <w:rsid w:val="7A661528"/>
    <w:rsid w:val="7B2304CD"/>
    <w:rsid w:val="7B910B71"/>
    <w:rsid w:val="7BAA349D"/>
    <w:rsid w:val="7BF97D01"/>
    <w:rsid w:val="7CB825A9"/>
    <w:rsid w:val="7D122048"/>
    <w:rsid w:val="7D7D33D5"/>
    <w:rsid w:val="7DC60149"/>
    <w:rsid w:val="7E8F1F92"/>
    <w:rsid w:val="7F342CF2"/>
    <w:rsid w:val="7F5C5A1E"/>
    <w:rsid w:val="7FBD4C33"/>
    <w:rsid w:val="7FD80F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4"/>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r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paragraph" w:styleId="12">
    <w:name w:val="List Paragraph"/>
    <w:basedOn w:val="1"/>
    <w:qFormat/>
    <w:uiPriority w:val="34"/>
    <w:pPr>
      <w:ind w:firstLine="420" w:firstLineChars="200"/>
    </w:pPr>
  </w:style>
  <w:style w:type="paragraph" w:styleId="13">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4">
    <w:name w:val="标题 3 Char"/>
    <w:basedOn w:val="8"/>
    <w:link w:val="2"/>
    <w:qFormat/>
    <w:uiPriority w:val="9"/>
    <w:rPr>
      <w:rFonts w:ascii="宋体" w:hAnsi="宋体" w:eastAsia="宋体" w:cs="宋体"/>
      <w:b/>
      <w:bCs/>
      <w:kern w:val="0"/>
      <w:sz w:val="27"/>
      <w:szCs w:val="2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Pages>
  <Words>722</Words>
  <Characters>4122</Characters>
  <Lines>34</Lines>
  <Paragraphs>9</Paragraphs>
  <TotalTime>1</TotalTime>
  <ScaleCrop>false</ScaleCrop>
  <LinksUpToDate>false</LinksUpToDate>
  <CharactersWithSpaces>4835</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2019-04-15T01:25:00Z</dcterms:created>
  <dc:creator>Administrator</dc:creator>
  <cp:lastModifiedBy>职院大王</cp:lastModifiedBy>
  <cp:lastPrinted>2020-03-13T03:13:00Z</cp:lastPrinted>
  <dcterms:modified xsi:type="dcterms:W3CDTF">2020-03-16T01:59:50Z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