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温州市高教新区建设中心</w:t>
      </w:r>
      <w:r>
        <w:rPr>
          <w:rFonts w:hint="eastAsia" w:ascii="方正小标宋简体" w:eastAsia="方正小标宋简体"/>
          <w:bCs/>
          <w:sz w:val="44"/>
          <w:szCs w:val="44"/>
        </w:rPr>
        <w:t>招聘编外工作人员一览表</w:t>
      </w:r>
    </w:p>
    <w:tbl>
      <w:tblPr>
        <w:tblStyle w:val="2"/>
        <w:tblpPr w:leftFromText="180" w:rightFromText="180" w:vertAnchor="text" w:horzAnchor="page" w:tblpX="1146" w:tblpY="173"/>
        <w:tblOverlap w:val="never"/>
        <w:tblW w:w="148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4"/>
        <w:gridCol w:w="708"/>
        <w:gridCol w:w="993"/>
        <w:gridCol w:w="1715"/>
        <w:gridCol w:w="2348"/>
        <w:gridCol w:w="1023"/>
        <w:gridCol w:w="2505"/>
        <w:gridCol w:w="232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待遇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工程现场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管理（土建工程）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工程管理、土木工程相关专业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具有2年以上相关工作经历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或初级职称：7-9万元；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中级职称：12-15万元；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高工年龄可放宽至45周岁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工程现场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管理（水电安装）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45周岁及以下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土木工程、给排水、建筑设备相关专业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具有2年以上相关工作经历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或初级职称：7-9万元；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中级职称：12-15万元；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高工年龄可放宽至50周岁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工程造价管理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工程造价、土建、安装等相关专业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具有2年以上相关工作经历，中级职称及以上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中级职称：12-15万元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高工年龄可放宽至45周岁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项目前期管理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工程管理、土木工程、规划相关专业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具有2年以上相关工作经历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或初级职称：7-9万元；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中级职称：12-15万元；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高工年龄可放宽至45周岁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城市规划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城市规划类相关专业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具有2年以上相关工作经历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或初级职称：7-9万元；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中级职称：12-15万元；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高工年龄可放宽至45周岁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6B4"/>
    <w:rsid w:val="395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Administrator</cp:lastModifiedBy>
  <dcterms:modified xsi:type="dcterms:W3CDTF">2020-01-03T02:36:03Z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