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附件2</w:t>
      </w:r>
    </w:p>
    <w:p>
      <w:pPr>
        <w:spacing w:line="600" w:lineRule="exact"/>
        <w:jc w:val="center"/>
        <w:rPr>
          <w:rFonts w:hint="eastAsia" w:ascii="方正小标宋_GBK" w:eastAsia="方正小标宋_GBK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寒假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见习大学生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名额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分配表</w:t>
      </w:r>
    </w:p>
    <w:bookmarkEnd w:id="0"/>
    <w:tbl>
      <w:tblPr>
        <w:tblStyle w:val="2"/>
        <w:tblpPr w:leftFromText="180" w:rightFromText="180" w:vertAnchor="text" w:horzAnchor="page" w:tblpX="1742" w:tblpY="153"/>
        <w:tblOverlap w:val="never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763"/>
        <w:gridCol w:w="1411"/>
        <w:gridCol w:w="906"/>
        <w:gridCol w:w="1907"/>
        <w:gridCol w:w="15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序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单  位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分配人数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序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</w:rPr>
              <w:t>分配人数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政府办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县文旅局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发改局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卫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健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县教育体育局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县退役军人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局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ind w:firstLine="280" w:firstLineChars="100"/>
              <w:jc w:val="both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县工信局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县应急管理局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公安局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县审计局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民政局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县市场监管局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司法局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县行政审批局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财政局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县林业局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人社局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统计局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县自然资源</w:t>
            </w:r>
            <w:r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</w:rPr>
              <w:t>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县民宗局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市生态环境局岐山分局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县信访局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住建局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县医保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>局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</w:rPr>
              <w:t>交通</w:t>
            </w:r>
            <w:r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运输</w:t>
            </w:r>
            <w:r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</w:rPr>
              <w:t>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县扶贫办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水利局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县招商局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pacing w:val="-20"/>
                <w:kern w:val="0"/>
                <w:sz w:val="28"/>
                <w:szCs w:val="28"/>
                <w:lang w:eastAsia="zh-CN"/>
              </w:rPr>
              <w:t>县农业农村局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县供销联社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  <w:t>县商务局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各  镇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2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2575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57767"/>
    <w:rsid w:val="661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2020-01-03T08:36:00Z</dcterms:created>
  <dc:creator>MONSTER</dc:creator>
  <cp:lastModifiedBy>MONSTER</cp:lastModifiedBy>
  <dcterms:modified xsi:type="dcterms:W3CDTF">2020-01-03T08:36:31Z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