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ascii="仿宋" w:hAnsi="仿宋" w:eastAsia="仿宋" w:cs="宋体"/>
          <w:szCs w:val="32"/>
        </w:rPr>
      </w:pPr>
      <w:r>
        <w:rPr>
          <w:rFonts w:hint="eastAsia" w:ascii="仿宋" w:hAnsi="仿宋" w:eastAsia="仿宋" w:cs="宋体"/>
          <w:szCs w:val="32"/>
        </w:rPr>
        <w:t>附件1：</w:t>
      </w:r>
    </w:p>
    <w:p>
      <w:pPr>
        <w:shd w:val="clear" w:color="auto" w:fill="FFFFFF"/>
        <w:spacing w:line="580" w:lineRule="exact"/>
        <w:jc w:val="center"/>
        <w:rPr>
          <w:rFonts w:ascii="仿宋" w:hAnsi="仿宋" w:eastAsia="仿宋" w:cs="宋体"/>
          <w:b/>
          <w:sz w:val="36"/>
          <w:szCs w:val="36"/>
        </w:rPr>
      </w:pPr>
      <w:r>
        <w:rPr>
          <w:rFonts w:hint="eastAsia" w:ascii="方正小标宋简体" w:hAnsi="仿宋" w:eastAsia="方正小标宋简体" w:cs="宋体"/>
          <w:b/>
          <w:sz w:val="36"/>
          <w:szCs w:val="36"/>
        </w:rPr>
        <w:t>四川省曲艺研究院2020年1月</w:t>
      </w:r>
      <w:r>
        <w:rPr>
          <w:rFonts w:hint="eastAsia" w:ascii="方正小标宋简体" w:hAnsi="仿宋" w:eastAsia="方正小标宋简体" w:cs="宋体"/>
          <w:b/>
          <w:sz w:val="36"/>
          <w:szCs w:val="36"/>
          <w:lang w:eastAsia="zh-CN"/>
        </w:rPr>
        <w:t>公开</w:t>
      </w:r>
      <w:r>
        <w:rPr>
          <w:rFonts w:hint="eastAsia" w:ascii="方正小标宋简体" w:hAnsi="仿宋" w:eastAsia="方正小标宋简体" w:cs="宋体"/>
          <w:b/>
          <w:sz w:val="36"/>
          <w:szCs w:val="36"/>
        </w:rPr>
        <w:t>考核招聘艺术专业技术人员岗位和条件要求一览表</w:t>
      </w:r>
    </w:p>
    <w:tbl>
      <w:tblPr>
        <w:tblStyle w:val="4"/>
        <w:tblW w:w="139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725"/>
        <w:gridCol w:w="1536"/>
        <w:gridCol w:w="974"/>
        <w:gridCol w:w="1701"/>
        <w:gridCol w:w="1701"/>
        <w:gridCol w:w="1861"/>
        <w:gridCol w:w="992"/>
        <w:gridCol w:w="2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tblHeader/>
          <w:jc w:val="center"/>
        </w:trPr>
        <w:tc>
          <w:tcPr>
            <w:tcW w:w="89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序号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单位名称</w:t>
            </w:r>
          </w:p>
        </w:tc>
        <w:tc>
          <w:tcPr>
            <w:tcW w:w="777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条件要求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开考比例</w:t>
            </w:r>
          </w:p>
        </w:tc>
        <w:tc>
          <w:tcPr>
            <w:tcW w:w="259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招聘                        岗位</w:t>
            </w:r>
          </w:p>
        </w:tc>
        <w:tc>
          <w:tcPr>
            <w:tcW w:w="974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招聘人数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年龄要求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学历学位要求</w:t>
            </w:r>
          </w:p>
        </w:tc>
        <w:tc>
          <w:tcPr>
            <w:tcW w:w="186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专业条件要求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8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z w:val="18"/>
                <w:szCs w:val="18"/>
              </w:rPr>
              <w:t>四川省曲艺研究院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作曲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cs="宋体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" w:leftChars="-1" w:right="-50" w:rightChars="-24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1985年1月1日及以后出生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" w:leftChars="-1" w:right="-50" w:rightChars="-2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限普通高等院校全日制普通班大学本科及以上学历学位</w:t>
            </w:r>
          </w:p>
        </w:tc>
        <w:tc>
          <w:tcPr>
            <w:tcW w:w="1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作曲与作曲技术理论专业</w:t>
            </w:r>
          </w:p>
          <w:p>
            <w:pPr>
              <w:spacing w:line="240" w:lineRule="exact"/>
              <w:jc w:val="center"/>
              <w:rPr>
                <w:rFonts w:hint="default" w:ascii="仿宋_GB2312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专业代码：130203）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2:1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1、具有艺术系列作曲专业中级及以上专业技术职称证者，不受学历、学位、专业限制；</w:t>
            </w:r>
          </w:p>
          <w:p>
            <w:pPr>
              <w:spacing w:line="240" w:lineRule="exact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2、长期从事本专业工作，且获得省级及以上奖项者，年龄可放宽至1980年1月1日及以后出生。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8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z w:val="18"/>
                <w:szCs w:val="18"/>
              </w:rPr>
              <w:t>四川省曲艺研究院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/>
                <w:sz w:val="18"/>
                <w:szCs w:val="18"/>
              </w:rPr>
              <w:t>曲艺演唱演员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cs="宋体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" w:leftChars="-1" w:right="-50" w:rightChars="-24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1990年1月1日及以后出生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" w:leftChars="-1" w:right="-50" w:rightChars="-2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限普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通高等院校全日制普通班大学本科及以上学历学位</w:t>
            </w:r>
          </w:p>
        </w:tc>
        <w:tc>
          <w:tcPr>
            <w:tcW w:w="1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音乐学专业（音乐表演方向）</w:t>
            </w:r>
          </w:p>
          <w:p>
            <w:pPr>
              <w:spacing w:line="240" w:lineRule="exact"/>
              <w:jc w:val="center"/>
              <w:rPr>
                <w:rFonts w:hint="default" w:ascii="仿宋_GB2312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专业代码：130202）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2:1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具有艺术系列演员专业中级及以上专业技术职称证者，不受学历、学位、专业限制；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8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z w:val="18"/>
                <w:szCs w:val="18"/>
              </w:rPr>
              <w:t>四川省曲艺研究院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曲艺表演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" w:leftChars="-1" w:right="-50" w:rightChars="-24"/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1990年1月1日及以后出生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" w:leftChars="-1" w:right="-50" w:rightChars="-2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限普通高等院校全日制普通班大学本科及以上学历学位</w:t>
            </w:r>
          </w:p>
        </w:tc>
        <w:tc>
          <w:tcPr>
            <w:tcW w:w="1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舞蹈表演专业</w:t>
            </w:r>
          </w:p>
          <w:p>
            <w:pPr>
              <w:spacing w:line="240" w:lineRule="exact"/>
              <w:jc w:val="center"/>
              <w:rPr>
                <w:rFonts w:hint="default" w:ascii="仿宋_GB2312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专业代码：130204）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18"/>
                <w:szCs w:val="18"/>
              </w:rPr>
              <w:t>舞蹈学专业</w:t>
            </w:r>
          </w:p>
          <w:p>
            <w:pPr>
              <w:spacing w:line="240" w:lineRule="exact"/>
              <w:jc w:val="center"/>
              <w:rPr>
                <w:rFonts w:hint="default" w:ascii="仿宋_GB2312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专业代码：130205）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2:1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具有艺术系列演员专业中级及以上专业技术职称证者，不受学历、学位、专业限制；</w:t>
            </w:r>
          </w:p>
          <w:p>
            <w:pPr>
              <w:spacing w:line="240" w:lineRule="exact"/>
              <w:jc w:val="left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2、具有艺术系列演员专业中级及以上专业技术职称证，年龄可放宽至1985年1月1日及以后出生。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9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z w:val="18"/>
                <w:szCs w:val="18"/>
              </w:rPr>
              <w:t>4</w:t>
            </w:r>
          </w:p>
          <w:p>
            <w:pPr>
              <w:spacing w:line="240" w:lineRule="exact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z w:val="18"/>
                <w:szCs w:val="18"/>
              </w:rPr>
              <w:t>四川省曲艺研究院</w:t>
            </w:r>
          </w:p>
        </w:tc>
        <w:tc>
          <w:tcPr>
            <w:tcW w:w="15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民族器乐演奏员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" w:leftChars="-1" w:right="-50" w:rightChars="-24"/>
              <w:jc w:val="center"/>
              <w:rPr>
                <w:sz w:val="18"/>
                <w:szCs w:val="18"/>
              </w:rPr>
            </w:pPr>
            <w:r>
              <w:rPr>
                <w:rFonts w:ascii="仿宋_GB2312" w:hAnsi="宋体" w:cs="宋体"/>
                <w:sz w:val="18"/>
                <w:szCs w:val="18"/>
              </w:rPr>
              <w:t>198</w:t>
            </w:r>
            <w:r>
              <w:rPr>
                <w:rFonts w:hint="eastAsia" w:ascii="仿宋_GB2312" w:hAnsi="宋体" w:cs="宋体"/>
                <w:sz w:val="18"/>
                <w:szCs w:val="18"/>
              </w:rPr>
              <w:t>5</w:t>
            </w:r>
            <w:r>
              <w:rPr>
                <w:rFonts w:ascii="仿宋_GB2312" w:hAnsi="宋体" w:cs="宋体"/>
                <w:sz w:val="18"/>
                <w:szCs w:val="18"/>
              </w:rPr>
              <w:t>年1月1日及以后出生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" w:leftChars="-1" w:right="-50" w:rightChars="-2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限普通高等院校全日制普通班大学本科及以上学历学位</w:t>
            </w:r>
          </w:p>
        </w:tc>
        <w:tc>
          <w:tcPr>
            <w:tcW w:w="1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音乐表演专业(琵琶)</w:t>
            </w:r>
          </w:p>
          <w:p>
            <w:pPr>
              <w:spacing w:line="240" w:lineRule="exact"/>
              <w:jc w:val="center"/>
              <w:rPr>
                <w:rFonts w:hint="default" w:ascii="仿宋_GB2312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专业代码：130201）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2:1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具有艺术系列演奏员专业中级及以上专业技术职称证者，不受学历、学位、专业限制；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9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" w:leftChars="-1" w:right="-50" w:rightChars="-24"/>
              <w:jc w:val="center"/>
              <w:rPr>
                <w:sz w:val="18"/>
                <w:szCs w:val="18"/>
              </w:rPr>
            </w:pPr>
            <w:r>
              <w:rPr>
                <w:rFonts w:ascii="仿宋_GB2312" w:hAnsi="宋体" w:cs="宋体"/>
                <w:sz w:val="18"/>
                <w:szCs w:val="18"/>
              </w:rPr>
              <w:t>198</w:t>
            </w:r>
            <w:r>
              <w:rPr>
                <w:rFonts w:hint="eastAsia" w:ascii="仿宋_GB2312" w:hAnsi="宋体" w:cs="宋体"/>
                <w:sz w:val="18"/>
                <w:szCs w:val="18"/>
              </w:rPr>
              <w:t>5</w:t>
            </w:r>
            <w:r>
              <w:rPr>
                <w:rFonts w:ascii="仿宋_GB2312" w:hAnsi="宋体" w:cs="宋体"/>
                <w:sz w:val="18"/>
                <w:szCs w:val="18"/>
              </w:rPr>
              <w:t>年1月1日及以后出生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" w:leftChars="-1" w:right="-50" w:rightChars="-2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限普通高等院校全日制普通班大学本科及以上学历学位</w:t>
            </w:r>
          </w:p>
        </w:tc>
        <w:tc>
          <w:tcPr>
            <w:tcW w:w="1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音乐表演专业(二胡)</w:t>
            </w:r>
          </w:p>
          <w:p>
            <w:pPr>
              <w:spacing w:line="240" w:lineRule="exact"/>
              <w:jc w:val="center"/>
              <w:rPr>
                <w:rFonts w:hint="default" w:ascii="仿宋_GB2312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专业代码：130201）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2:1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具有艺术系列演奏员专业中级及以上专业技术职称证者，不受学历、学位、专业限制；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98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color w:val="000000"/>
                <w:sz w:val="18"/>
                <w:szCs w:val="18"/>
              </w:rPr>
              <w:t>四川省曲艺研究院</w:t>
            </w:r>
          </w:p>
        </w:tc>
        <w:tc>
          <w:tcPr>
            <w:tcW w:w="153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艺术研究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" w:leftChars="-1" w:right="-50" w:rightChars="-24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1990年1月1日及以后出生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left="-2" w:leftChars="-1" w:right="-50" w:rightChars="-2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限普通高等院校全日制普通班大学本科及以上学历学位</w:t>
            </w:r>
          </w:p>
        </w:tc>
        <w:tc>
          <w:tcPr>
            <w:tcW w:w="1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艺术史论专业</w:t>
            </w:r>
          </w:p>
          <w:p>
            <w:pPr>
              <w:spacing w:line="240" w:lineRule="exact"/>
              <w:jc w:val="center"/>
              <w:rPr>
                <w:rFonts w:hint="default" w:ascii="仿宋_GB2312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宋体"/>
                <w:sz w:val="18"/>
                <w:szCs w:val="18"/>
                <w:lang w:val="en-US" w:eastAsia="zh-CN"/>
              </w:rPr>
              <w:t>专业代码：130101）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2:1</w:t>
            </w:r>
          </w:p>
        </w:tc>
        <w:tc>
          <w:tcPr>
            <w:tcW w:w="2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具有艺术系列艺术研究专业中级及以上专业技术职称证者</w:t>
            </w:r>
            <w:r>
              <w:rPr>
                <w:rFonts w:hint="eastAsia" w:ascii="仿宋_GB2312" w:hAnsi="宋体" w:cs="宋体"/>
                <w:sz w:val="18"/>
                <w:szCs w:val="18"/>
                <w:lang w:eastAsia="zh-CN"/>
              </w:rPr>
              <w:t>或</w:t>
            </w:r>
            <w:r>
              <w:rPr>
                <w:rFonts w:hint="eastAsia" w:ascii="仿宋_GB2312" w:hAnsi="宋体" w:cs="宋体"/>
                <w:sz w:val="18"/>
                <w:szCs w:val="18"/>
              </w:rPr>
              <w:t>长期从事本专业工作</w:t>
            </w:r>
            <w:r>
              <w:rPr>
                <w:rFonts w:hint="eastAsia" w:ascii="仿宋_GB2312" w:hAnsi="宋体" w:cs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宋体" w:cs="宋体"/>
                <w:sz w:val="18"/>
                <w:szCs w:val="18"/>
              </w:rPr>
              <w:t>且具有一定的艺术研究成果及出版论文或专著，不受学历、学位、专业限制；</w:t>
            </w:r>
          </w:p>
        </w:tc>
      </w:tr>
    </w:tbl>
    <w:p>
      <w:pPr>
        <w:shd w:val="clear" w:color="auto" w:fill="FFFFFF"/>
        <w:spacing w:line="240" w:lineRule="exact"/>
        <w:ind w:firstLine="270" w:firstLineChars="150"/>
        <w:rPr>
          <w:rFonts w:ascii="仿宋_GB2312" w:hAnsi="宋体" w:cs="宋体"/>
          <w:sz w:val="18"/>
          <w:szCs w:val="18"/>
        </w:rPr>
      </w:pPr>
      <w:r>
        <w:rPr>
          <w:rFonts w:hint="eastAsia" w:ascii="仿宋_GB2312" w:hAnsi="宋体" w:cs="宋体"/>
          <w:sz w:val="18"/>
          <w:szCs w:val="18"/>
        </w:rPr>
        <w:t>注：1、因我院对曲艺人才招聘要求的特殊性，在专业条件要求上须具有指向性，故只能设置1-2个专业；</w:t>
      </w:r>
    </w:p>
    <w:p>
      <w:pPr>
        <w:shd w:val="clear" w:color="auto" w:fill="FFFFFF"/>
        <w:spacing w:line="240" w:lineRule="exact"/>
        <w:ind w:firstLine="630" w:firstLineChars="350"/>
        <w:rPr>
          <w:rFonts w:ascii="ˎ̥" w:hAnsi="ˎ̥" w:cs="宋体"/>
          <w:kern w:val="0"/>
          <w:sz w:val="24"/>
          <w:szCs w:val="24"/>
        </w:rPr>
        <w:sectPr>
          <w:footerReference r:id="rId3" w:type="default"/>
          <w:pgSz w:w="16838" w:h="11906" w:orient="landscape"/>
          <w:pgMar w:top="680" w:right="1191" w:bottom="567" w:left="1191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cs="宋体"/>
          <w:sz w:val="18"/>
          <w:szCs w:val="18"/>
        </w:rPr>
        <w:t>2、未尽事宜请与用人单位联系。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  <w:p>
    <w:pPr>
      <w:pStyle w:val="2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839F"/>
    <w:multiLevelType w:val="singleLevel"/>
    <w:tmpl w:val="3BA383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3249C"/>
    <w:rsid w:val="08032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2019-12-31T06:50:00Z</dcterms:created>
  <dc:creator>NTKO</dc:creator>
  <cp:lastModifiedBy>NTKO</cp:lastModifiedBy>
  <dcterms:modified xsi:type="dcterms:W3CDTF">2019-12-31T06:50:55Z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