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default" w:ascii="楷体" w:hAnsi="楷体" w:eastAsia="楷体" w:cs="楷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道县2020年卫健系统急需紧缺高层次人才需求目录及要求</w:t>
      </w:r>
    </w:p>
    <w:tbl>
      <w:tblPr>
        <w:tblStyle w:val="2"/>
        <w:tblW w:w="140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431"/>
        <w:gridCol w:w="1250"/>
        <w:gridCol w:w="1275"/>
        <w:gridCol w:w="1375"/>
        <w:gridCol w:w="7138"/>
        <w:gridCol w:w="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7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事业单位差额拨款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中医或者中西医结合专业，全日制硕士及以上学历，年龄30岁以下，取得执业医师及以上资格，年龄32岁以下，具有中级以上职称，年龄35岁以下。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临床专业全日制硕士及以上学历，年龄30岁以下，取得执业医师及以上资格，年龄32岁以下，具有中级以上职称，年龄35岁以下。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针灸推拿专业，全日制硕士及以上学历，年龄30岁以下，取得执业医师及以上资格，年龄32岁以下，具有中级以上职称，年龄35岁以下。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中药学专业，全日制硕士及以上学历。年龄30岁以下，取得药师及以上专业技术资格，年龄32岁以下，具有中级以上职称，年龄35岁以下。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5001"/>
    <w:rsid w:val="01195001"/>
    <w:rsid w:val="194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2019-12-27T08:50:00Z</dcterms:created>
  <dc:creator>河不烫</dc:creator>
  <cp:lastModifiedBy>河不烫</cp:lastModifiedBy>
  <dcterms:modified xsi:type="dcterms:W3CDTF">2019-12-27T08:54:58Z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