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</w:pPr>
      <w:r>
        <w:rPr>
          <w:bdr w:val="none" w:color="auto" w:sz="0" w:space="0"/>
        </w:rPr>
        <w:t>附件:岗位需求信息表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956"/>
        <w:gridCol w:w="4607"/>
        <w:gridCol w:w="554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科室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岗位或专业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条件要求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胸心血管外科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学科带头人</w:t>
            </w:r>
          </w:p>
        </w:tc>
        <w:tc>
          <w:tcPr>
            <w:tcW w:w="2767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第一学历为全日制本科，副主任医师及以上职称；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或者为全日制博士研究生，主治医师及以上职称。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泌尿外科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学科带头人</w:t>
            </w:r>
          </w:p>
        </w:tc>
        <w:tc>
          <w:tcPr>
            <w:tcW w:w="2767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耳鼻喉科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学科带头人</w:t>
            </w:r>
          </w:p>
        </w:tc>
        <w:tc>
          <w:tcPr>
            <w:tcW w:w="2767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创伤外科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学科带头人</w:t>
            </w:r>
          </w:p>
        </w:tc>
        <w:tc>
          <w:tcPr>
            <w:tcW w:w="2767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重症医学科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学科带头人</w:t>
            </w:r>
          </w:p>
        </w:tc>
        <w:tc>
          <w:tcPr>
            <w:tcW w:w="2767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急诊科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学科带头人</w:t>
            </w:r>
          </w:p>
        </w:tc>
        <w:tc>
          <w:tcPr>
            <w:tcW w:w="2767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临床科室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各临床专业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全日制博士研究生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若干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神经内科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神经内科学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心血管内科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心血管内科学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心电图学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全日制本科及以上学历，本科要求规培证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心脏康复（技师）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全日制本科及以上学历，本科要求规培证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1-2人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呼吸内科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呼吸内科学（西医）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ICU（重症）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全日制本科学历，具有规培证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肿瘤内科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肿瘤内科学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肿瘤介入微创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老年、血液科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血液内科学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老年医学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全科医学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全日制本科及以上学历，具有规培证书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肾内科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肾病学（中西医结合）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内分泌科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内分泌学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中医科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中医内科学（肿瘤）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全日制硕士研究生及以上学历，具有规培证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泌尿外科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泌尿外科学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全日制本科学历，具有规培证书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胸心血管外科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血管外科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全日制硕士研究生及以上学历或全日制临床本科学历，具有规培证书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胸外科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全日制硕士研究生及以上学历或全日制本科学历，具有规培证书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心外科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普外科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普通外科学（胃肠方向）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普通外科学（肝胆方向）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疼痛科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全日制本科学历，具有规培证书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1-2人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眼科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眼视光专业（临床）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眼耳鼻喉专业（技术岗）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全日制本科学历，具有规培证书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眼底病专业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1-2人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眼科学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1-2人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耳鼻喉科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耳鼻喉医学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神经外科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神经外科学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全日制硕士研究生及以上学历或全日制临床本科学历，具有规培证书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创伤外科</w:t>
            </w:r>
          </w:p>
        </w:tc>
        <w:tc>
          <w:tcPr>
            <w:tcW w:w="1175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创伤外科学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全日制本科及以上学历，本科要求规培证书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本科（含专升本）以上学历，主治医师以上职称，具有十年以上相关工作经历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急诊科</w:t>
            </w:r>
          </w:p>
        </w:tc>
        <w:tc>
          <w:tcPr>
            <w:tcW w:w="1175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急诊科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全日制本科及以上学历，本科要求规培证书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本科（含专升本）以上学历，主治医师以上职称，具有十年以上相关工作经历，有急诊上岗证的优先录用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康复科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康复医学与理疗学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针灸推拿学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全日制硕士研究生及以上学历，有规培证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学前教育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音乐治疗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康复治疗学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妇产科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妇产科学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检验科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医学检验或临床检验诊断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病理科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病理诊断学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影像科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医学影像技术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影像诊断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超声科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影像诊断学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全日制本科及以上学历，有规培证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1-2人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麻醉科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麻醉医学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全日制本科及以上学历，有规培证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放疗科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放疗学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口腔科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口腔医学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职能部门</w:t>
            </w: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人力资源管理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会计学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公共卫生事业管理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4" w:type="pct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新闻学或汉语言学</w:t>
            </w:r>
          </w:p>
        </w:tc>
        <w:tc>
          <w:tcPr>
            <w:tcW w:w="2767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全日制硕士研究生学历</w:t>
            </w:r>
          </w:p>
        </w:tc>
        <w:tc>
          <w:tcPr>
            <w:tcW w:w="332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4511B"/>
    <w:rsid w:val="15607D8F"/>
    <w:rsid w:val="4E645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2019-12-03T08:29:00Z</dcterms:created>
  <dc:creator>new</dc:creator>
  <cp:lastModifiedBy>new</cp:lastModifiedBy>
  <dcterms:modified xsi:type="dcterms:W3CDTF">2019-12-03T08:29:57Z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