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2F8" w:rsidRPr="002817D6" w:rsidRDefault="002B62F8" w:rsidP="002817D6">
      <w:pPr>
        <w:spacing w:line="500" w:lineRule="exact"/>
        <w:jc w:val="center"/>
        <w:rPr>
          <w:rFonts w:ascii="黑体" w:eastAsia="黑体" w:hAnsi="黑体" w:hint="eastAsia"/>
          <w:sz w:val="32"/>
          <w:szCs w:val="32"/>
        </w:rPr>
      </w:pPr>
      <w:r w:rsidRPr="002817D6">
        <w:rPr>
          <w:rFonts w:ascii="黑体" w:eastAsia="黑体" w:hAnsi="黑体" w:hint="eastAsia"/>
          <w:sz w:val="32"/>
          <w:szCs w:val="32"/>
        </w:rPr>
        <w:t>哈尔滨金融学院教师学习提高管理办法（修订稿）</w:t>
      </w:r>
    </w:p>
    <w:p w:rsidR="002B62F8" w:rsidRPr="006D302C" w:rsidRDefault="002817D6" w:rsidP="002817D6">
      <w:pPr>
        <w:spacing w:line="500" w:lineRule="exact"/>
        <w:jc w:val="center"/>
        <w:rPr>
          <w:rFonts w:ascii="黑体" w:eastAsia="黑体" w:hAnsi="黑体" w:hint="eastAsia"/>
          <w:sz w:val="28"/>
          <w:szCs w:val="28"/>
        </w:rPr>
      </w:pPr>
      <w:r w:rsidRPr="006D302C">
        <w:rPr>
          <w:rFonts w:ascii="黑体" w:eastAsia="黑体" w:hAnsi="黑体" w:hint="eastAsia"/>
          <w:sz w:val="28"/>
          <w:szCs w:val="28"/>
        </w:rPr>
        <w:t>哈金院〔2018〕34号</w:t>
      </w:r>
    </w:p>
    <w:p w:rsidR="002817D6" w:rsidRDefault="002817D6" w:rsidP="002817D6">
      <w:pPr>
        <w:spacing w:line="500" w:lineRule="exact"/>
        <w:jc w:val="center"/>
        <w:rPr>
          <w:rFonts w:ascii="仿宋_GB2312" w:eastAsia="仿宋_GB2312" w:hint="eastAsia"/>
          <w:b/>
          <w:sz w:val="28"/>
          <w:szCs w:val="28"/>
        </w:rPr>
      </w:pPr>
    </w:p>
    <w:p w:rsidR="002B62F8" w:rsidRPr="002817D6" w:rsidRDefault="002B62F8" w:rsidP="002817D6">
      <w:pPr>
        <w:spacing w:line="500" w:lineRule="exact"/>
        <w:jc w:val="center"/>
        <w:rPr>
          <w:rFonts w:ascii="仿宋_GB2312" w:eastAsia="仿宋_GB2312" w:hint="eastAsia"/>
          <w:b/>
          <w:sz w:val="28"/>
          <w:szCs w:val="28"/>
        </w:rPr>
      </w:pPr>
      <w:r w:rsidRPr="002817D6">
        <w:rPr>
          <w:rFonts w:ascii="仿宋_GB2312" w:eastAsia="仿宋_GB2312" w:hint="eastAsia"/>
          <w:b/>
          <w:sz w:val="28"/>
          <w:szCs w:val="28"/>
        </w:rPr>
        <w:t>第一章</w:t>
      </w:r>
      <w:r w:rsidRPr="002817D6">
        <w:rPr>
          <w:rFonts w:ascii="仿宋_GB2312" w:eastAsia="仿宋_GB2312" w:hint="eastAsia"/>
          <w:b/>
          <w:sz w:val="28"/>
          <w:szCs w:val="28"/>
        </w:rPr>
        <w:t>  </w:t>
      </w:r>
      <w:r w:rsidRPr="002817D6">
        <w:rPr>
          <w:rFonts w:ascii="仿宋_GB2312" w:eastAsia="仿宋_GB2312" w:hint="eastAsia"/>
          <w:b/>
          <w:sz w:val="28"/>
          <w:szCs w:val="28"/>
        </w:rPr>
        <w:t>总</w:t>
      </w:r>
      <w:r w:rsidRPr="002817D6">
        <w:rPr>
          <w:rFonts w:ascii="仿宋_GB2312" w:eastAsia="仿宋_GB2312" w:hint="eastAsia"/>
          <w:b/>
          <w:sz w:val="28"/>
          <w:szCs w:val="28"/>
        </w:rPr>
        <w:t>  </w:t>
      </w:r>
      <w:r w:rsidRPr="002817D6">
        <w:rPr>
          <w:rFonts w:ascii="仿宋_GB2312" w:eastAsia="仿宋_GB2312" w:hint="eastAsia"/>
          <w:b/>
          <w:sz w:val="28"/>
          <w:szCs w:val="28"/>
        </w:rPr>
        <w:t>则</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第一条</w:t>
      </w:r>
      <w:r w:rsidRPr="002817D6">
        <w:rPr>
          <w:rFonts w:ascii="仿宋_GB2312" w:eastAsia="仿宋_GB2312" w:hint="eastAsia"/>
          <w:sz w:val="28"/>
          <w:szCs w:val="28"/>
        </w:rPr>
        <w:t> </w:t>
      </w:r>
      <w:r w:rsidRPr="002817D6">
        <w:rPr>
          <w:rFonts w:ascii="仿宋_GB2312" w:eastAsia="仿宋_GB2312" w:hint="eastAsia"/>
          <w:sz w:val="28"/>
          <w:szCs w:val="28"/>
        </w:rPr>
        <w:t>为加强教师队伍建设，提高教师队伍的整体素质和业务水平，提升教学、科研和管理能力，满足教师更高的学习提高需求，依据国家、省中长期教育改革发展规划纲要精神，结合学院实际，制定本办法。</w:t>
      </w:r>
    </w:p>
    <w:p w:rsidR="002B62F8" w:rsidRPr="002817D6" w:rsidRDefault="002B62F8" w:rsidP="002817D6">
      <w:pPr>
        <w:spacing w:line="500" w:lineRule="exact"/>
        <w:ind w:firstLineChars="200" w:firstLine="560"/>
        <w:rPr>
          <w:rFonts w:ascii="仿宋_GB2312" w:eastAsia="仿宋_GB2312" w:hint="eastAsia"/>
          <w:sz w:val="28"/>
          <w:szCs w:val="28"/>
        </w:rPr>
      </w:pPr>
      <w:bookmarkStart w:id="0" w:name="_GoBack"/>
      <w:bookmarkEnd w:id="0"/>
      <w:r w:rsidRPr="002817D6">
        <w:rPr>
          <w:rFonts w:ascii="仿宋_GB2312" w:eastAsia="仿宋_GB2312" w:hint="eastAsia"/>
          <w:sz w:val="28"/>
          <w:szCs w:val="28"/>
        </w:rPr>
        <w:t>第二条</w:t>
      </w:r>
      <w:r w:rsidRPr="002817D6">
        <w:rPr>
          <w:rFonts w:ascii="仿宋_GB2312" w:eastAsia="仿宋_GB2312" w:hint="eastAsia"/>
          <w:sz w:val="28"/>
          <w:szCs w:val="28"/>
        </w:rPr>
        <w:t> </w:t>
      </w:r>
      <w:r w:rsidRPr="002817D6">
        <w:rPr>
          <w:rFonts w:ascii="仿宋_GB2312" w:eastAsia="仿宋_GB2312" w:hint="eastAsia"/>
          <w:sz w:val="28"/>
          <w:szCs w:val="28"/>
        </w:rPr>
        <w:t>本办法所称教师是指在学院从事教学工作的在职专任教师和兼有教学任务的兼职教师。</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第三条</w:t>
      </w:r>
      <w:r w:rsidRPr="002817D6">
        <w:rPr>
          <w:rFonts w:ascii="仿宋_GB2312" w:eastAsia="仿宋_GB2312" w:hint="eastAsia"/>
          <w:sz w:val="28"/>
          <w:szCs w:val="28"/>
        </w:rPr>
        <w:t> </w:t>
      </w:r>
      <w:r w:rsidRPr="002817D6">
        <w:rPr>
          <w:rFonts w:ascii="仿宋_GB2312" w:eastAsia="仿宋_GB2312" w:hint="eastAsia"/>
          <w:sz w:val="28"/>
          <w:szCs w:val="28"/>
        </w:rPr>
        <w:t>基本原则</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（一）坚持统筹安排、按需培养的原则；</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（二）坚持规范管理、注重实效的原则；</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（三）坚持学习提高、兼顾工作的原则；</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（四）坚持协议派出、违约处罚的原则；</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（五）坚持费用分担、各负其责的原则。</w:t>
      </w:r>
    </w:p>
    <w:p w:rsidR="002B62F8" w:rsidRPr="002817D6" w:rsidRDefault="002B62F8" w:rsidP="002817D6">
      <w:pPr>
        <w:spacing w:line="500" w:lineRule="exact"/>
        <w:jc w:val="center"/>
        <w:rPr>
          <w:rFonts w:ascii="仿宋_GB2312" w:eastAsia="仿宋_GB2312" w:hint="eastAsia"/>
          <w:b/>
          <w:sz w:val="28"/>
          <w:szCs w:val="28"/>
        </w:rPr>
      </w:pPr>
      <w:r w:rsidRPr="002817D6">
        <w:rPr>
          <w:rFonts w:ascii="仿宋_GB2312" w:eastAsia="仿宋_GB2312" w:hint="eastAsia"/>
          <w:b/>
          <w:sz w:val="28"/>
          <w:szCs w:val="28"/>
        </w:rPr>
        <w:t>第二章</w:t>
      </w:r>
      <w:r w:rsidRPr="002817D6">
        <w:rPr>
          <w:rFonts w:ascii="仿宋_GB2312" w:eastAsia="仿宋_GB2312" w:hint="eastAsia"/>
          <w:b/>
          <w:sz w:val="28"/>
          <w:szCs w:val="28"/>
        </w:rPr>
        <w:t>  </w:t>
      </w:r>
      <w:r w:rsidRPr="002817D6">
        <w:rPr>
          <w:rFonts w:ascii="仿宋_GB2312" w:eastAsia="仿宋_GB2312" w:hint="eastAsia"/>
          <w:b/>
          <w:sz w:val="28"/>
          <w:szCs w:val="28"/>
        </w:rPr>
        <w:t>类型与条件</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第四条</w:t>
      </w:r>
      <w:r w:rsidRPr="002817D6">
        <w:rPr>
          <w:rFonts w:ascii="仿宋_GB2312" w:eastAsia="仿宋_GB2312" w:hint="eastAsia"/>
          <w:sz w:val="28"/>
          <w:szCs w:val="28"/>
        </w:rPr>
        <w:t> </w:t>
      </w:r>
      <w:r w:rsidRPr="002817D6">
        <w:rPr>
          <w:rFonts w:ascii="仿宋_GB2312" w:eastAsia="仿宋_GB2312" w:hint="eastAsia"/>
          <w:sz w:val="28"/>
          <w:szCs w:val="28"/>
        </w:rPr>
        <w:t>教师学习提高的类型分为岗位培训、进修学习（访学）、社会实践、攻读学位、出国（境）进修。</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第五条</w:t>
      </w:r>
      <w:r w:rsidRPr="002817D6">
        <w:rPr>
          <w:rFonts w:ascii="仿宋_GB2312" w:eastAsia="仿宋_GB2312" w:hint="eastAsia"/>
          <w:sz w:val="28"/>
          <w:szCs w:val="28"/>
        </w:rPr>
        <w:t> </w:t>
      </w:r>
      <w:r w:rsidRPr="002817D6">
        <w:rPr>
          <w:rFonts w:ascii="仿宋_GB2312" w:eastAsia="仿宋_GB2312" w:hint="eastAsia"/>
          <w:sz w:val="28"/>
          <w:szCs w:val="28"/>
        </w:rPr>
        <w:t>岗位培训</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教龄不足五年的新教师须参加岗位培训，岗位培训包括岗前培训和教学实践锻炼。</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（一）岗前培训。依据《黑龙江省高等学校教师岗前培训工作实施方案》（</w:t>
      </w:r>
      <w:proofErr w:type="gramStart"/>
      <w:r w:rsidRPr="002817D6">
        <w:rPr>
          <w:rFonts w:ascii="仿宋_GB2312" w:eastAsia="仿宋_GB2312" w:hint="eastAsia"/>
          <w:sz w:val="28"/>
          <w:szCs w:val="28"/>
        </w:rPr>
        <w:t>黑教高办</w:t>
      </w:r>
      <w:proofErr w:type="gramEnd"/>
      <w:r w:rsidRPr="002817D6">
        <w:rPr>
          <w:rFonts w:ascii="仿宋_GB2312" w:eastAsia="仿宋_GB2312" w:hint="eastAsia"/>
          <w:sz w:val="28"/>
          <w:szCs w:val="28"/>
        </w:rPr>
        <w:t>〔2005〕74号），凡新聘任到学院从事教学工作的教师必须参加岗前培训。</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（二）教学实践。新入职教师到校一年内不安排授课任务，跟随相关主讲教师听课和辅导答疑,由系（部）指定一名高级职称的教师</w:t>
      </w:r>
      <w:r w:rsidRPr="002817D6">
        <w:rPr>
          <w:rFonts w:ascii="仿宋_GB2312" w:eastAsia="仿宋_GB2312" w:hint="eastAsia"/>
          <w:sz w:val="28"/>
          <w:szCs w:val="28"/>
        </w:rPr>
        <w:lastRenderedPageBreak/>
        <w:t>对新教师进行教学实践指导和帮助。教学实践后，在指导教师同意的基础上，经系（部）同意方可承担授课任务。</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第六条</w:t>
      </w:r>
      <w:r w:rsidRPr="002817D6">
        <w:rPr>
          <w:rFonts w:ascii="仿宋_GB2312" w:eastAsia="仿宋_GB2312" w:hint="eastAsia"/>
          <w:sz w:val="28"/>
          <w:szCs w:val="28"/>
        </w:rPr>
        <w:t> </w:t>
      </w:r>
      <w:r w:rsidRPr="002817D6">
        <w:rPr>
          <w:rFonts w:ascii="仿宋_GB2312" w:eastAsia="仿宋_GB2312" w:hint="eastAsia"/>
          <w:sz w:val="28"/>
          <w:szCs w:val="28"/>
        </w:rPr>
        <w:t>进修学习（访学）</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（一）学院按照国家和省有关文件选派教师到国内重点大学或科研院所进修学习或者作访问学者，表现突出的青年骨干教师也可自行联系并申请到国内重点大学或科研院所进修学习或者作访问学者。</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（二）进修学习的期限为半年或一年。</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第七条</w:t>
      </w:r>
      <w:r w:rsidRPr="002817D6">
        <w:rPr>
          <w:rFonts w:ascii="仿宋_GB2312" w:eastAsia="仿宋_GB2312" w:hint="eastAsia"/>
          <w:sz w:val="28"/>
          <w:szCs w:val="28"/>
        </w:rPr>
        <w:t> </w:t>
      </w:r>
      <w:r w:rsidRPr="002817D6">
        <w:rPr>
          <w:rFonts w:ascii="仿宋_GB2312" w:eastAsia="仿宋_GB2312" w:hint="eastAsia"/>
          <w:sz w:val="28"/>
          <w:szCs w:val="28"/>
        </w:rPr>
        <w:t>社会实践</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（一）社会实践要立足与学科、专业相关的企业，面向社会、基层第一线，结合专业与主讲的课程进行。</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（二）各系（部）根据学科、专业建设需要，有计划地安排教师到与所开设专业相关企业、机构参加社会实践或服务社会活动。</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（三）社会实践的期限为半年。</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（四）社会实践地点限于哈尔滨市。</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第八条</w:t>
      </w:r>
      <w:r w:rsidRPr="002817D6">
        <w:rPr>
          <w:rFonts w:ascii="仿宋_GB2312" w:eastAsia="仿宋_GB2312" w:hint="eastAsia"/>
          <w:sz w:val="28"/>
          <w:szCs w:val="28"/>
        </w:rPr>
        <w:t> </w:t>
      </w:r>
      <w:r w:rsidRPr="002817D6">
        <w:rPr>
          <w:rFonts w:ascii="仿宋_GB2312" w:eastAsia="仿宋_GB2312" w:hint="eastAsia"/>
          <w:sz w:val="28"/>
          <w:szCs w:val="28"/>
        </w:rPr>
        <w:t>攻读学位</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一）教师在学院工作满二年可申请攻读学位，因特殊情况提前申请报考的，必须试用期满，并且要根据提前时间双倍延长服务期。教师在国（境）内学习,脱产时间不得超过二年，其中，处、科级干部（含科级员）脱产学习时间不得超过一年，教师申请在国（境）外攻读学位，脱产时间不得超过三年。</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（二）考取定向或委托培养博士研究生及出国（境）攻读学位的教师，须与学院签订哈尔滨金融学院教师在职攻读博士学位协议书，以明确双方的权利和义务等。</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第九条</w:t>
      </w:r>
      <w:r w:rsidRPr="002817D6">
        <w:rPr>
          <w:rFonts w:ascii="仿宋_GB2312" w:eastAsia="仿宋_GB2312" w:hint="eastAsia"/>
          <w:sz w:val="28"/>
          <w:szCs w:val="28"/>
        </w:rPr>
        <w:t> </w:t>
      </w:r>
      <w:r w:rsidRPr="002817D6">
        <w:rPr>
          <w:rFonts w:ascii="仿宋_GB2312" w:eastAsia="仿宋_GB2312" w:hint="eastAsia"/>
          <w:sz w:val="28"/>
          <w:szCs w:val="28"/>
        </w:rPr>
        <w:t>出国（境）进修</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（一）出国（境）进修含国家公派、单位公派和自费三种形式。</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（二）表现突出的教师在国内大学或科研院所难以满足学习需求的情况下,且出国（境）进修理由充分，方可申请单位公派或自费出</w:t>
      </w:r>
      <w:r w:rsidRPr="002817D6">
        <w:rPr>
          <w:rFonts w:ascii="仿宋_GB2312" w:eastAsia="仿宋_GB2312" w:hint="eastAsia"/>
          <w:sz w:val="28"/>
          <w:szCs w:val="28"/>
        </w:rPr>
        <w:lastRenderedPageBreak/>
        <w:t>国（境）进修，但须同时满足以下条件：</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1.在学院工作满三年，年龄在45周岁及以下，教龄在20年以上的教师可放宽至50周岁，具有讲师或以上专业技术职务，硕士或以上学历。</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2.原则上是学院重点建设学科(专业)及科研团队带头人或骨干成员。</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3.进修期限在三个月至一年。</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4.外语水平符合《国家留学基金资助出国留学外语条件》规定或外方接受单位的认可。</w:t>
      </w:r>
    </w:p>
    <w:p w:rsidR="002B62F8" w:rsidRPr="002817D6" w:rsidRDefault="002B62F8" w:rsidP="002817D6">
      <w:pPr>
        <w:spacing w:line="500" w:lineRule="exact"/>
        <w:jc w:val="center"/>
        <w:rPr>
          <w:rFonts w:ascii="仿宋_GB2312" w:eastAsia="仿宋_GB2312" w:hint="eastAsia"/>
          <w:b/>
          <w:sz w:val="28"/>
          <w:szCs w:val="28"/>
        </w:rPr>
      </w:pPr>
      <w:r w:rsidRPr="002817D6">
        <w:rPr>
          <w:rFonts w:ascii="仿宋_GB2312" w:eastAsia="仿宋_GB2312" w:hint="eastAsia"/>
          <w:b/>
          <w:sz w:val="28"/>
          <w:szCs w:val="28"/>
        </w:rPr>
        <w:t>第三章</w:t>
      </w:r>
      <w:r w:rsidRPr="002817D6">
        <w:rPr>
          <w:rFonts w:ascii="仿宋_GB2312" w:eastAsia="仿宋_GB2312" w:hint="eastAsia"/>
          <w:b/>
          <w:sz w:val="28"/>
          <w:szCs w:val="28"/>
        </w:rPr>
        <w:t>  </w:t>
      </w:r>
      <w:r w:rsidRPr="002817D6">
        <w:rPr>
          <w:rFonts w:ascii="仿宋_GB2312" w:eastAsia="仿宋_GB2312" w:hint="eastAsia"/>
          <w:b/>
          <w:sz w:val="28"/>
          <w:szCs w:val="28"/>
        </w:rPr>
        <w:t>审批程序</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第十条</w:t>
      </w:r>
      <w:r w:rsidRPr="002817D6">
        <w:rPr>
          <w:rFonts w:ascii="仿宋_GB2312" w:eastAsia="仿宋_GB2312" w:hint="eastAsia"/>
          <w:sz w:val="28"/>
          <w:szCs w:val="28"/>
        </w:rPr>
        <w:t> </w:t>
      </w:r>
      <w:r w:rsidRPr="002817D6">
        <w:rPr>
          <w:rFonts w:ascii="仿宋_GB2312" w:eastAsia="仿宋_GB2312" w:hint="eastAsia"/>
          <w:sz w:val="28"/>
          <w:szCs w:val="28"/>
        </w:rPr>
        <w:t>审批程序</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（一）教师本人向所在系（部）提出书面申请。</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（二）系（部）根据学科、专业的发展需要,</w:t>
      </w:r>
      <w:r w:rsidRPr="002817D6">
        <w:rPr>
          <w:rFonts w:ascii="仿宋_GB2312" w:eastAsia="仿宋_GB2312" w:hint="eastAsia"/>
          <w:sz w:val="28"/>
          <w:szCs w:val="28"/>
        </w:rPr>
        <w:t> </w:t>
      </w:r>
      <w:r w:rsidRPr="002817D6">
        <w:rPr>
          <w:rFonts w:ascii="仿宋_GB2312" w:eastAsia="仿宋_GB2312" w:hint="eastAsia"/>
          <w:sz w:val="28"/>
          <w:szCs w:val="28"/>
        </w:rPr>
        <w:t>在保证教学、科研工作能够正常进行的情况下，制订本系（部）学年度教师学习提高计划。在外脱产学习的教师数量不超过本单位教师总数的15%,严格控制出国（境）进修。系（部）每年五月底将《教师学习提高计划汇总表》（见附件1）及《哈尔滨金融学院教师出国（境）进修申请表》（见附件2）报人事处。</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三）人事处会同教务处、科研处提出学院学年度教师学习提高计划，其中，涉及到出国（境）进修人员，人事处须会同教务处、科研处、国际合作与交流处和财务处确认教师出国（境）进修的资格、资助资金来源、资助金额、研修期限等相关事宜。</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（四）学院学年度教师学习提高计划由学院教师队伍建设指导委员会审核后，报院长办公会审定;处、科级干部(含科级员)脱产学习提高报学院党委会审定。</w:t>
      </w:r>
    </w:p>
    <w:p w:rsidR="002B62F8" w:rsidRPr="002817D6" w:rsidRDefault="002B62F8" w:rsidP="002817D6">
      <w:pPr>
        <w:spacing w:line="500" w:lineRule="exact"/>
        <w:jc w:val="center"/>
        <w:rPr>
          <w:rFonts w:ascii="仿宋_GB2312" w:eastAsia="仿宋_GB2312" w:hint="eastAsia"/>
          <w:b/>
          <w:sz w:val="28"/>
          <w:szCs w:val="28"/>
        </w:rPr>
      </w:pPr>
      <w:r w:rsidRPr="002817D6">
        <w:rPr>
          <w:rFonts w:ascii="仿宋_GB2312" w:eastAsia="仿宋_GB2312" w:hint="eastAsia"/>
          <w:b/>
          <w:sz w:val="28"/>
          <w:szCs w:val="28"/>
        </w:rPr>
        <w:t>第四章</w:t>
      </w:r>
      <w:r w:rsidRPr="002817D6">
        <w:rPr>
          <w:rFonts w:ascii="仿宋_GB2312" w:eastAsia="仿宋_GB2312" w:hint="eastAsia"/>
          <w:b/>
          <w:sz w:val="28"/>
          <w:szCs w:val="28"/>
        </w:rPr>
        <w:t>  </w:t>
      </w:r>
      <w:r w:rsidRPr="002817D6">
        <w:rPr>
          <w:rFonts w:ascii="仿宋_GB2312" w:eastAsia="仿宋_GB2312" w:hint="eastAsia"/>
          <w:b/>
          <w:sz w:val="28"/>
          <w:szCs w:val="28"/>
        </w:rPr>
        <w:t>待遇与服务期</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第十一条</w:t>
      </w:r>
      <w:r w:rsidRPr="002817D6">
        <w:rPr>
          <w:rFonts w:ascii="仿宋_GB2312" w:eastAsia="仿宋_GB2312" w:hint="eastAsia"/>
          <w:sz w:val="28"/>
          <w:szCs w:val="28"/>
        </w:rPr>
        <w:t> </w:t>
      </w:r>
      <w:r w:rsidRPr="002817D6">
        <w:rPr>
          <w:rFonts w:ascii="仿宋_GB2312" w:eastAsia="仿宋_GB2312" w:hint="eastAsia"/>
          <w:sz w:val="28"/>
          <w:szCs w:val="28"/>
        </w:rPr>
        <w:t>待遇</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lastRenderedPageBreak/>
        <w:t>（一）教师在岗位培训、进修学习（访学）、社会实践、攻读学位、出国（境）进修期间，工资与福利待遇不变。</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（二）学习提高期间，考核结果为“合格”且符合相应教师专业技术职务任职条件者，可以申报高一级专业技术职务。</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（三）教师在进修学习（访学）期间，每学期报销一次往返路费。</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（四）教师在进修学习（访学）期间的学费与住宿费由学院承担，住宿费按不超过所在学校学生住宿（四人间）标准报销。</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（五）攻读博士学位结束并获得相应的学历和学位之后，自费博士每人可报销1万元的学费，公费博士每人给予1万元学费补贴，其余费用由教师本人承担。</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六）国家公派出国（境）进修的按照上级有关文件执行。学院公派出国（境）进修的教师，学院负担含学费、住宿、交通费用的三分之二，进修教师负担三分之一，学院负担费用上限为10万元，可适当预借部分资助经费。自费出国（境）进修由本人承担全部进修费用。</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（七）教师学习提高期间的科研成果正常享受学院有关政策。</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第十二条</w:t>
      </w:r>
      <w:r w:rsidRPr="002817D6">
        <w:rPr>
          <w:rFonts w:ascii="仿宋_GB2312" w:eastAsia="仿宋_GB2312" w:hint="eastAsia"/>
          <w:sz w:val="28"/>
          <w:szCs w:val="28"/>
        </w:rPr>
        <w:t> </w:t>
      </w:r>
      <w:r w:rsidRPr="002817D6">
        <w:rPr>
          <w:rFonts w:ascii="仿宋_GB2312" w:eastAsia="仿宋_GB2312" w:hint="eastAsia"/>
          <w:sz w:val="28"/>
          <w:szCs w:val="28"/>
        </w:rPr>
        <w:t>服务期</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一）教师报考博士学位被录取时，应与学院签订《哈尔滨金融学院教师在职攻读博士学位协议书》，攻读学位结束返校工作后，至少在学院连续服务5年。服务期未满而因个人原因调出或辞职的应当返还脱产期间的全部工资、住房公积金、养老和医疗保险及1万元学费补贴，并按每缺少1年缴纳6000元违约金，不足1年部分按月计算。</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二）教师出国（境）进修前应与学院签订哈尔滨金融学院教师出国（境）进修协议书，回国返校工作后，至少应在学院连续服务5年，服务期内不得再次申请出国（境）进修。服务期未满而因个人原因调出或辞职的应当返还出国（境）期间的全部工资、住房公积金、</w:t>
      </w:r>
      <w:r w:rsidRPr="002817D6">
        <w:rPr>
          <w:rFonts w:ascii="仿宋_GB2312" w:eastAsia="仿宋_GB2312" w:hint="eastAsia"/>
          <w:sz w:val="28"/>
          <w:szCs w:val="28"/>
        </w:rPr>
        <w:lastRenderedPageBreak/>
        <w:t>养老和医疗保险及进修资助费用（国家公派和单位公派出国进修教师）并按每缺少1年缴纳12000元违约金，不足1年部分按月计算。</w:t>
      </w:r>
    </w:p>
    <w:p w:rsidR="002B62F8" w:rsidRPr="002817D6" w:rsidRDefault="002B62F8" w:rsidP="002817D6">
      <w:pPr>
        <w:spacing w:line="500" w:lineRule="exact"/>
        <w:jc w:val="center"/>
        <w:rPr>
          <w:rFonts w:ascii="仿宋_GB2312" w:eastAsia="仿宋_GB2312" w:hint="eastAsia"/>
          <w:b/>
          <w:sz w:val="28"/>
          <w:szCs w:val="28"/>
        </w:rPr>
      </w:pPr>
      <w:r w:rsidRPr="002817D6">
        <w:rPr>
          <w:rFonts w:ascii="仿宋_GB2312" w:eastAsia="仿宋_GB2312" w:hint="eastAsia"/>
          <w:b/>
          <w:sz w:val="28"/>
          <w:szCs w:val="28"/>
        </w:rPr>
        <w:t>第五章</w:t>
      </w:r>
      <w:r w:rsidRPr="002817D6">
        <w:rPr>
          <w:rFonts w:ascii="仿宋_GB2312" w:eastAsia="仿宋_GB2312" w:hint="eastAsia"/>
          <w:b/>
          <w:sz w:val="28"/>
          <w:szCs w:val="28"/>
        </w:rPr>
        <w:t>  </w:t>
      </w:r>
      <w:r w:rsidRPr="002817D6">
        <w:rPr>
          <w:rFonts w:ascii="仿宋_GB2312" w:eastAsia="仿宋_GB2312" w:hint="eastAsia"/>
          <w:b/>
          <w:sz w:val="28"/>
          <w:szCs w:val="28"/>
        </w:rPr>
        <w:t>考核与管理</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第十三条</w:t>
      </w:r>
      <w:r w:rsidRPr="002817D6">
        <w:rPr>
          <w:rFonts w:ascii="仿宋_GB2312" w:eastAsia="仿宋_GB2312" w:hint="eastAsia"/>
          <w:sz w:val="28"/>
          <w:szCs w:val="28"/>
        </w:rPr>
        <w:t> </w:t>
      </w:r>
      <w:r w:rsidRPr="002817D6">
        <w:rPr>
          <w:rFonts w:ascii="仿宋_GB2312" w:eastAsia="仿宋_GB2312" w:hint="eastAsia"/>
          <w:sz w:val="28"/>
          <w:szCs w:val="28"/>
        </w:rPr>
        <w:t>脱产学习提高的教师由人事处与教师所在的系（部）对其考核和管理。</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第十四条</w:t>
      </w:r>
      <w:r w:rsidRPr="002817D6">
        <w:rPr>
          <w:rFonts w:ascii="仿宋_GB2312" w:eastAsia="仿宋_GB2312" w:hint="eastAsia"/>
          <w:sz w:val="28"/>
          <w:szCs w:val="28"/>
        </w:rPr>
        <w:t> </w:t>
      </w:r>
      <w:r w:rsidRPr="002817D6">
        <w:rPr>
          <w:rFonts w:ascii="仿宋_GB2312" w:eastAsia="仿宋_GB2312" w:hint="eastAsia"/>
          <w:sz w:val="28"/>
          <w:szCs w:val="28"/>
        </w:rPr>
        <w:t>考核内容</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（一）教师在进修学习（访学）、社会实践结束后，应向所在的系（部）提交进修学习报告、进修学习成绩单、进修或社会实践单位的鉴定等。</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（二）教师在脱产完成攻读学位课程期间，应向系（部）提交年度的学习情况总结并参加系（部）年度考核，攻读学位结束后应向系（部）提交获得相应学历的证明材料。</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（三）教师须在出国（境）前提交进修学习计划和预期目标，进修结束后应提交进修学习报告及进修学习成果的佐证材料。</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第十五条</w:t>
      </w:r>
      <w:r w:rsidRPr="002817D6">
        <w:rPr>
          <w:rFonts w:ascii="仿宋_GB2312" w:eastAsia="仿宋_GB2312" w:hint="eastAsia"/>
          <w:sz w:val="28"/>
          <w:szCs w:val="28"/>
        </w:rPr>
        <w:t> </w:t>
      </w:r>
      <w:r w:rsidRPr="002817D6">
        <w:rPr>
          <w:rFonts w:ascii="仿宋_GB2312" w:eastAsia="仿宋_GB2312" w:hint="eastAsia"/>
          <w:sz w:val="28"/>
          <w:szCs w:val="28"/>
        </w:rPr>
        <w:t>管理</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（一）参加学习提高教师的考核材料交人事处复核后，由所在系（部）留存。</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（二）考核不合格的不予报销应由学院承担的费用。</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（三）出国（境）教师进修结束后，系（部）将考核意见报教务处或科研处审核，审核结果报人事处复核。</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（四）出国（境）进修人员须委托一名学院在职在编教职工作为其经济担保人，若该出国（境）进修人员违约而不履行违约责任，由其经济担保人代为履行。</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（五）参加社会实践的教师在工作日内必须在岗（实践单位），如外出除向实践单位请假外还须向所在系（部）和学院人事处（打电话）请假；若无故</w:t>
      </w:r>
      <w:proofErr w:type="gramStart"/>
      <w:r w:rsidRPr="002817D6">
        <w:rPr>
          <w:rFonts w:ascii="仿宋_GB2312" w:eastAsia="仿宋_GB2312" w:hint="eastAsia"/>
          <w:sz w:val="28"/>
          <w:szCs w:val="28"/>
        </w:rPr>
        <w:t>不</w:t>
      </w:r>
      <w:proofErr w:type="gramEnd"/>
      <w:r w:rsidRPr="002817D6">
        <w:rPr>
          <w:rFonts w:ascii="仿宋_GB2312" w:eastAsia="仿宋_GB2312" w:hint="eastAsia"/>
          <w:sz w:val="28"/>
          <w:szCs w:val="28"/>
        </w:rPr>
        <w:t>在岗，一经查实，参照《哈尔滨金融学院教职工请假规定（试行）》按旷工处理，社会实践期满返校后。教师须在本</w:t>
      </w:r>
      <w:r w:rsidRPr="002817D6">
        <w:rPr>
          <w:rFonts w:ascii="仿宋_GB2312" w:eastAsia="仿宋_GB2312" w:hint="eastAsia"/>
          <w:sz w:val="28"/>
          <w:szCs w:val="28"/>
        </w:rPr>
        <w:lastRenderedPageBreak/>
        <w:t>单位做汇报交流。</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（六）社会实践或进修学习（访学）结束后三年内不得再次申请离岗社会实践或进修学习（访学），也不允许两者交叉申请。学校根据上级要求指派的进修、交流、高级访学除外。</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（七）教师参加学习提高结束返校工作后，系（部）为其出具到岗证明，并交人事处备案。</w:t>
      </w:r>
    </w:p>
    <w:p w:rsidR="002B62F8" w:rsidRPr="002817D6" w:rsidRDefault="002B62F8" w:rsidP="002817D6">
      <w:pPr>
        <w:spacing w:line="500" w:lineRule="exact"/>
        <w:jc w:val="center"/>
        <w:rPr>
          <w:rFonts w:ascii="仿宋_GB2312" w:eastAsia="仿宋_GB2312" w:hint="eastAsia"/>
          <w:b/>
          <w:sz w:val="28"/>
          <w:szCs w:val="28"/>
        </w:rPr>
      </w:pPr>
      <w:r w:rsidRPr="002817D6">
        <w:rPr>
          <w:rFonts w:ascii="仿宋_GB2312" w:eastAsia="仿宋_GB2312" w:hint="eastAsia"/>
          <w:b/>
          <w:sz w:val="28"/>
          <w:szCs w:val="28"/>
        </w:rPr>
        <w:t>第六章</w:t>
      </w:r>
      <w:r w:rsidRPr="002817D6">
        <w:rPr>
          <w:rFonts w:ascii="仿宋_GB2312" w:eastAsia="仿宋_GB2312" w:hint="eastAsia"/>
          <w:b/>
          <w:sz w:val="28"/>
          <w:szCs w:val="28"/>
        </w:rPr>
        <w:t>  </w:t>
      </w:r>
      <w:r w:rsidRPr="002817D6">
        <w:rPr>
          <w:rFonts w:ascii="仿宋_GB2312" w:eastAsia="仿宋_GB2312" w:hint="eastAsia"/>
          <w:b/>
          <w:sz w:val="28"/>
          <w:szCs w:val="28"/>
        </w:rPr>
        <w:t>附</w:t>
      </w:r>
      <w:r w:rsidRPr="002817D6">
        <w:rPr>
          <w:rFonts w:ascii="仿宋_GB2312" w:eastAsia="仿宋_GB2312" w:hint="eastAsia"/>
          <w:b/>
          <w:sz w:val="28"/>
          <w:szCs w:val="28"/>
        </w:rPr>
        <w:t>  </w:t>
      </w:r>
      <w:r w:rsidRPr="002817D6">
        <w:rPr>
          <w:rFonts w:ascii="仿宋_GB2312" w:eastAsia="仿宋_GB2312" w:hint="eastAsia"/>
          <w:b/>
          <w:sz w:val="28"/>
          <w:szCs w:val="28"/>
        </w:rPr>
        <w:t>则</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第十六条</w:t>
      </w:r>
      <w:r w:rsidRPr="002817D6">
        <w:rPr>
          <w:rFonts w:ascii="仿宋_GB2312" w:eastAsia="仿宋_GB2312" w:hint="eastAsia"/>
          <w:sz w:val="28"/>
          <w:szCs w:val="28"/>
        </w:rPr>
        <w:t> </w:t>
      </w:r>
      <w:r w:rsidRPr="002817D6">
        <w:rPr>
          <w:rFonts w:ascii="仿宋_GB2312" w:eastAsia="仿宋_GB2312" w:hint="eastAsia"/>
          <w:sz w:val="28"/>
          <w:szCs w:val="28"/>
        </w:rPr>
        <w:t>国家公派出国（境）进修的相关事宜按国家和省有关文件执行。</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第十七条</w:t>
      </w:r>
      <w:r w:rsidRPr="002817D6">
        <w:rPr>
          <w:rFonts w:ascii="仿宋_GB2312" w:eastAsia="仿宋_GB2312" w:hint="eastAsia"/>
          <w:sz w:val="28"/>
          <w:szCs w:val="28"/>
        </w:rPr>
        <w:t> </w:t>
      </w:r>
      <w:r w:rsidRPr="002817D6">
        <w:rPr>
          <w:rFonts w:ascii="仿宋_GB2312" w:eastAsia="仿宋_GB2312" w:hint="eastAsia"/>
          <w:sz w:val="28"/>
          <w:szCs w:val="28"/>
        </w:rPr>
        <w:t>本办法自发布之日起实施，《哈尔滨金融学院教师学习提高管理办法（修订稿）》（哈金院〔2015〕38号）同时废止，本办法发布之日后取得博士学位的教师享受本办法规定的博士学费补贴标准。</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第十八条</w:t>
      </w:r>
      <w:r w:rsidRPr="002817D6">
        <w:rPr>
          <w:rFonts w:ascii="仿宋_GB2312" w:eastAsia="仿宋_GB2312" w:hint="eastAsia"/>
          <w:sz w:val="28"/>
          <w:szCs w:val="28"/>
        </w:rPr>
        <w:t> </w:t>
      </w:r>
      <w:r w:rsidRPr="002817D6">
        <w:rPr>
          <w:rFonts w:ascii="仿宋_GB2312" w:eastAsia="仿宋_GB2312" w:hint="eastAsia"/>
          <w:sz w:val="28"/>
          <w:szCs w:val="28"/>
        </w:rPr>
        <w:t>本办法由人事处负责解释。</w:t>
      </w:r>
    </w:p>
    <w:p w:rsidR="002B62F8" w:rsidRPr="002817D6" w:rsidRDefault="002B62F8" w:rsidP="002817D6">
      <w:pPr>
        <w:spacing w:line="500" w:lineRule="exact"/>
        <w:rPr>
          <w:rFonts w:ascii="仿宋_GB2312" w:eastAsia="仿宋_GB2312" w:hint="eastAsia"/>
          <w:sz w:val="28"/>
          <w:szCs w:val="28"/>
        </w:rPr>
      </w:pPr>
      <w:r w:rsidRPr="002817D6">
        <w:rPr>
          <w:rFonts w:ascii="仿宋_GB2312" w:eastAsia="仿宋_GB2312" w:hint="eastAsia"/>
          <w:sz w:val="28"/>
          <w:szCs w:val="28"/>
        </w:rPr>
        <w:t> </w:t>
      </w:r>
    </w:p>
    <w:p w:rsidR="002B62F8" w:rsidRPr="002817D6" w:rsidRDefault="002B62F8" w:rsidP="002817D6">
      <w:pPr>
        <w:spacing w:line="500" w:lineRule="exact"/>
        <w:ind w:firstLineChars="200" w:firstLine="560"/>
        <w:rPr>
          <w:rFonts w:ascii="仿宋_GB2312" w:eastAsia="仿宋_GB2312" w:hint="eastAsia"/>
          <w:sz w:val="28"/>
          <w:szCs w:val="28"/>
        </w:rPr>
      </w:pPr>
      <w:r w:rsidRPr="002817D6">
        <w:rPr>
          <w:rFonts w:ascii="仿宋_GB2312" w:eastAsia="仿宋_GB2312" w:hint="eastAsia"/>
          <w:sz w:val="28"/>
          <w:szCs w:val="28"/>
        </w:rPr>
        <w:t>附表：1.教师学习提高计划汇总表</w:t>
      </w:r>
    </w:p>
    <w:p w:rsidR="002B62F8" w:rsidRPr="002817D6" w:rsidRDefault="002B62F8" w:rsidP="002817D6">
      <w:pPr>
        <w:spacing w:line="500" w:lineRule="exact"/>
        <w:rPr>
          <w:rFonts w:ascii="仿宋_GB2312" w:eastAsia="仿宋_GB2312" w:hint="eastAsia"/>
          <w:sz w:val="28"/>
          <w:szCs w:val="28"/>
        </w:rPr>
      </w:pPr>
      <w:r w:rsidRPr="002817D6">
        <w:rPr>
          <w:rFonts w:ascii="仿宋_GB2312" w:eastAsia="仿宋_GB2312" w:hint="eastAsia"/>
          <w:sz w:val="28"/>
          <w:szCs w:val="28"/>
        </w:rPr>
        <w:t>      </w:t>
      </w:r>
      <w:r w:rsidR="002817D6">
        <w:rPr>
          <w:rFonts w:ascii="仿宋_GB2312" w:eastAsia="仿宋_GB2312" w:hint="eastAsia"/>
          <w:sz w:val="28"/>
          <w:szCs w:val="28"/>
        </w:rPr>
        <w:t xml:space="preserve">       </w:t>
      </w:r>
      <w:r w:rsidRPr="002817D6">
        <w:rPr>
          <w:rFonts w:ascii="仿宋_GB2312" w:eastAsia="仿宋_GB2312" w:hint="eastAsia"/>
          <w:sz w:val="28"/>
          <w:szCs w:val="28"/>
        </w:rPr>
        <w:t>2.哈尔滨金融学院教师出国（境）进修申请表</w:t>
      </w:r>
    </w:p>
    <w:p w:rsidR="009D724E" w:rsidRPr="002817D6" w:rsidRDefault="009D724E" w:rsidP="002817D6">
      <w:pPr>
        <w:spacing w:line="500" w:lineRule="exact"/>
        <w:rPr>
          <w:rFonts w:ascii="仿宋_GB2312" w:eastAsia="仿宋_GB2312" w:hint="eastAsia"/>
          <w:sz w:val="28"/>
          <w:szCs w:val="28"/>
        </w:rPr>
      </w:pPr>
    </w:p>
    <w:sectPr w:rsidR="009D724E" w:rsidRPr="002817D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D4C" w:rsidRDefault="00A12D4C" w:rsidP="002B62F8">
      <w:r>
        <w:separator/>
      </w:r>
    </w:p>
  </w:endnote>
  <w:endnote w:type="continuationSeparator" w:id="0">
    <w:p w:rsidR="00A12D4C" w:rsidRDefault="00A12D4C" w:rsidP="002B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096886"/>
      <w:docPartObj>
        <w:docPartGallery w:val="Page Numbers (Bottom of Page)"/>
        <w:docPartUnique/>
      </w:docPartObj>
    </w:sdtPr>
    <w:sdtEndPr/>
    <w:sdtContent>
      <w:p w:rsidR="002B62F8" w:rsidRDefault="002B62F8">
        <w:pPr>
          <w:pStyle w:val="a4"/>
          <w:jc w:val="center"/>
        </w:pPr>
        <w:r>
          <w:fldChar w:fldCharType="begin"/>
        </w:r>
        <w:r>
          <w:instrText>PAGE   \* MERGEFORMAT</w:instrText>
        </w:r>
        <w:r>
          <w:fldChar w:fldCharType="separate"/>
        </w:r>
        <w:r w:rsidR="006D302C" w:rsidRPr="006D302C">
          <w:rPr>
            <w:noProof/>
            <w:lang w:val="zh-CN"/>
          </w:rPr>
          <w:t>1</w:t>
        </w:r>
        <w:r>
          <w:fldChar w:fldCharType="end"/>
        </w:r>
      </w:p>
    </w:sdtContent>
  </w:sdt>
  <w:p w:rsidR="002B62F8" w:rsidRDefault="002B62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D4C" w:rsidRDefault="00A12D4C" w:rsidP="002B62F8">
      <w:r>
        <w:separator/>
      </w:r>
    </w:p>
  </w:footnote>
  <w:footnote w:type="continuationSeparator" w:id="0">
    <w:p w:rsidR="00A12D4C" w:rsidRDefault="00A12D4C" w:rsidP="002B6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F8" w:rsidRDefault="002B62F8" w:rsidP="002B62F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134"/>
    <w:rsid w:val="0000009F"/>
    <w:rsid w:val="00005007"/>
    <w:rsid w:val="0000521C"/>
    <w:rsid w:val="000073C9"/>
    <w:rsid w:val="00007C3D"/>
    <w:rsid w:val="000148BD"/>
    <w:rsid w:val="000150D2"/>
    <w:rsid w:val="000166DA"/>
    <w:rsid w:val="00020B06"/>
    <w:rsid w:val="00021C5C"/>
    <w:rsid w:val="00027BD4"/>
    <w:rsid w:val="000311B3"/>
    <w:rsid w:val="000456CA"/>
    <w:rsid w:val="00047075"/>
    <w:rsid w:val="000474BD"/>
    <w:rsid w:val="0005375D"/>
    <w:rsid w:val="00054F59"/>
    <w:rsid w:val="000568F6"/>
    <w:rsid w:val="000577DB"/>
    <w:rsid w:val="0006012A"/>
    <w:rsid w:val="00061BBF"/>
    <w:rsid w:val="00063738"/>
    <w:rsid w:val="00064556"/>
    <w:rsid w:val="0006652B"/>
    <w:rsid w:val="000704B2"/>
    <w:rsid w:val="000762D5"/>
    <w:rsid w:val="00076C65"/>
    <w:rsid w:val="0008303F"/>
    <w:rsid w:val="000878F8"/>
    <w:rsid w:val="00091D15"/>
    <w:rsid w:val="000925AA"/>
    <w:rsid w:val="00093DF2"/>
    <w:rsid w:val="0009470A"/>
    <w:rsid w:val="00097B46"/>
    <w:rsid w:val="000A09F6"/>
    <w:rsid w:val="000A34D0"/>
    <w:rsid w:val="000B3674"/>
    <w:rsid w:val="000B427E"/>
    <w:rsid w:val="000C1BA8"/>
    <w:rsid w:val="000C26C9"/>
    <w:rsid w:val="000C4BD1"/>
    <w:rsid w:val="000C7A40"/>
    <w:rsid w:val="000D4C5C"/>
    <w:rsid w:val="000E1B84"/>
    <w:rsid w:val="000E6B53"/>
    <w:rsid w:val="000F01DA"/>
    <w:rsid w:val="000F1566"/>
    <w:rsid w:val="000F3F7E"/>
    <w:rsid w:val="000F5FD2"/>
    <w:rsid w:val="000F6C4B"/>
    <w:rsid w:val="001001D7"/>
    <w:rsid w:val="001066AE"/>
    <w:rsid w:val="00110134"/>
    <w:rsid w:val="0011235C"/>
    <w:rsid w:val="001127DE"/>
    <w:rsid w:val="00122323"/>
    <w:rsid w:val="001320DF"/>
    <w:rsid w:val="0013414A"/>
    <w:rsid w:val="0013453D"/>
    <w:rsid w:val="00140E68"/>
    <w:rsid w:val="001421D1"/>
    <w:rsid w:val="001438BE"/>
    <w:rsid w:val="001544E8"/>
    <w:rsid w:val="00155C8A"/>
    <w:rsid w:val="001627FD"/>
    <w:rsid w:val="00165757"/>
    <w:rsid w:val="001726AB"/>
    <w:rsid w:val="00172A01"/>
    <w:rsid w:val="00173580"/>
    <w:rsid w:val="00173AA4"/>
    <w:rsid w:val="00173AC8"/>
    <w:rsid w:val="00175388"/>
    <w:rsid w:val="00192F7D"/>
    <w:rsid w:val="001970F8"/>
    <w:rsid w:val="0019796F"/>
    <w:rsid w:val="001A7280"/>
    <w:rsid w:val="001A7DAD"/>
    <w:rsid w:val="001B293F"/>
    <w:rsid w:val="001B6239"/>
    <w:rsid w:val="001B6F07"/>
    <w:rsid w:val="001C5F37"/>
    <w:rsid w:val="001D6715"/>
    <w:rsid w:val="001D6A57"/>
    <w:rsid w:val="001E04B0"/>
    <w:rsid w:val="001E0772"/>
    <w:rsid w:val="001E0E27"/>
    <w:rsid w:val="001E22E0"/>
    <w:rsid w:val="001E5FF3"/>
    <w:rsid w:val="001F31CA"/>
    <w:rsid w:val="001F5735"/>
    <w:rsid w:val="001F69F3"/>
    <w:rsid w:val="00203A8B"/>
    <w:rsid w:val="002126BD"/>
    <w:rsid w:val="002173ED"/>
    <w:rsid w:val="00225BF2"/>
    <w:rsid w:val="00235D48"/>
    <w:rsid w:val="00244690"/>
    <w:rsid w:val="00245371"/>
    <w:rsid w:val="00247509"/>
    <w:rsid w:val="00251EE2"/>
    <w:rsid w:val="00252041"/>
    <w:rsid w:val="00255D53"/>
    <w:rsid w:val="00256974"/>
    <w:rsid w:val="00257178"/>
    <w:rsid w:val="00267180"/>
    <w:rsid w:val="00272FBD"/>
    <w:rsid w:val="00273B40"/>
    <w:rsid w:val="00275087"/>
    <w:rsid w:val="0028127A"/>
    <w:rsid w:val="002817D6"/>
    <w:rsid w:val="00284824"/>
    <w:rsid w:val="00284D44"/>
    <w:rsid w:val="00286E12"/>
    <w:rsid w:val="00290908"/>
    <w:rsid w:val="002A4944"/>
    <w:rsid w:val="002A5EF6"/>
    <w:rsid w:val="002B162E"/>
    <w:rsid w:val="002B1DED"/>
    <w:rsid w:val="002B29B5"/>
    <w:rsid w:val="002B41A9"/>
    <w:rsid w:val="002B62F8"/>
    <w:rsid w:val="002B7F58"/>
    <w:rsid w:val="002C7D06"/>
    <w:rsid w:val="002D0FF5"/>
    <w:rsid w:val="002D23C8"/>
    <w:rsid w:val="002D685E"/>
    <w:rsid w:val="002E748C"/>
    <w:rsid w:val="002F616A"/>
    <w:rsid w:val="002F73CF"/>
    <w:rsid w:val="00300834"/>
    <w:rsid w:val="00303E0E"/>
    <w:rsid w:val="003052A6"/>
    <w:rsid w:val="0031194C"/>
    <w:rsid w:val="00315F84"/>
    <w:rsid w:val="0031647E"/>
    <w:rsid w:val="00317430"/>
    <w:rsid w:val="003257F6"/>
    <w:rsid w:val="00332964"/>
    <w:rsid w:val="00332F6D"/>
    <w:rsid w:val="00335E17"/>
    <w:rsid w:val="00343188"/>
    <w:rsid w:val="00343537"/>
    <w:rsid w:val="00343A31"/>
    <w:rsid w:val="00345CE3"/>
    <w:rsid w:val="00350ACE"/>
    <w:rsid w:val="003524A9"/>
    <w:rsid w:val="00355583"/>
    <w:rsid w:val="00361CCC"/>
    <w:rsid w:val="00364A63"/>
    <w:rsid w:val="00367727"/>
    <w:rsid w:val="00371DA4"/>
    <w:rsid w:val="003766B2"/>
    <w:rsid w:val="00381B5A"/>
    <w:rsid w:val="00392C97"/>
    <w:rsid w:val="00396436"/>
    <w:rsid w:val="003A35B3"/>
    <w:rsid w:val="003A63E8"/>
    <w:rsid w:val="003A6A89"/>
    <w:rsid w:val="003C13DC"/>
    <w:rsid w:val="003C1507"/>
    <w:rsid w:val="003C2F32"/>
    <w:rsid w:val="003C4239"/>
    <w:rsid w:val="003D0D51"/>
    <w:rsid w:val="003D6BA6"/>
    <w:rsid w:val="003D70B3"/>
    <w:rsid w:val="003D79DE"/>
    <w:rsid w:val="003F346C"/>
    <w:rsid w:val="00404085"/>
    <w:rsid w:val="004122D1"/>
    <w:rsid w:val="004202CC"/>
    <w:rsid w:val="00425236"/>
    <w:rsid w:val="00425D9F"/>
    <w:rsid w:val="0043482C"/>
    <w:rsid w:val="00435D93"/>
    <w:rsid w:val="00440328"/>
    <w:rsid w:val="00446AEE"/>
    <w:rsid w:val="00452469"/>
    <w:rsid w:val="00456134"/>
    <w:rsid w:val="00460065"/>
    <w:rsid w:val="00474655"/>
    <w:rsid w:val="004914CC"/>
    <w:rsid w:val="004A1896"/>
    <w:rsid w:val="004A5313"/>
    <w:rsid w:val="004C575B"/>
    <w:rsid w:val="004C6ED0"/>
    <w:rsid w:val="004D02A7"/>
    <w:rsid w:val="004D13A2"/>
    <w:rsid w:val="004E20E4"/>
    <w:rsid w:val="004E6A36"/>
    <w:rsid w:val="004F1F35"/>
    <w:rsid w:val="004F5AB6"/>
    <w:rsid w:val="004F7B29"/>
    <w:rsid w:val="00502D72"/>
    <w:rsid w:val="0051252A"/>
    <w:rsid w:val="005206F4"/>
    <w:rsid w:val="00521F7F"/>
    <w:rsid w:val="005237C2"/>
    <w:rsid w:val="0052449A"/>
    <w:rsid w:val="00525DF9"/>
    <w:rsid w:val="00536F43"/>
    <w:rsid w:val="00541382"/>
    <w:rsid w:val="0054221C"/>
    <w:rsid w:val="0055375E"/>
    <w:rsid w:val="005647BA"/>
    <w:rsid w:val="00571C10"/>
    <w:rsid w:val="005744BC"/>
    <w:rsid w:val="005862FA"/>
    <w:rsid w:val="00586DB4"/>
    <w:rsid w:val="00593D2D"/>
    <w:rsid w:val="0059723E"/>
    <w:rsid w:val="005A3191"/>
    <w:rsid w:val="005A79FA"/>
    <w:rsid w:val="005B2F98"/>
    <w:rsid w:val="005B555F"/>
    <w:rsid w:val="005B6A47"/>
    <w:rsid w:val="005C2854"/>
    <w:rsid w:val="005C6021"/>
    <w:rsid w:val="005C63E7"/>
    <w:rsid w:val="005C6539"/>
    <w:rsid w:val="005D2FD6"/>
    <w:rsid w:val="005E4513"/>
    <w:rsid w:val="005E7637"/>
    <w:rsid w:val="005E773F"/>
    <w:rsid w:val="005F6D0E"/>
    <w:rsid w:val="005F7726"/>
    <w:rsid w:val="00600A97"/>
    <w:rsid w:val="006043B0"/>
    <w:rsid w:val="006055C2"/>
    <w:rsid w:val="00607C35"/>
    <w:rsid w:val="006172CA"/>
    <w:rsid w:val="00620D04"/>
    <w:rsid w:val="006341C7"/>
    <w:rsid w:val="00645539"/>
    <w:rsid w:val="00647834"/>
    <w:rsid w:val="00652CD7"/>
    <w:rsid w:val="006572D3"/>
    <w:rsid w:val="006572ED"/>
    <w:rsid w:val="006672E3"/>
    <w:rsid w:val="00672683"/>
    <w:rsid w:val="00672EF6"/>
    <w:rsid w:val="0067473E"/>
    <w:rsid w:val="00676125"/>
    <w:rsid w:val="006767DF"/>
    <w:rsid w:val="00680473"/>
    <w:rsid w:val="006876E7"/>
    <w:rsid w:val="00693D45"/>
    <w:rsid w:val="0069716D"/>
    <w:rsid w:val="006A2A7E"/>
    <w:rsid w:val="006B050C"/>
    <w:rsid w:val="006B10C0"/>
    <w:rsid w:val="006B739A"/>
    <w:rsid w:val="006C47C9"/>
    <w:rsid w:val="006D11BD"/>
    <w:rsid w:val="006D302C"/>
    <w:rsid w:val="006E078C"/>
    <w:rsid w:val="006E63CD"/>
    <w:rsid w:val="006F2124"/>
    <w:rsid w:val="006F4363"/>
    <w:rsid w:val="006F4E48"/>
    <w:rsid w:val="006F5AF8"/>
    <w:rsid w:val="006F7B0D"/>
    <w:rsid w:val="00700F2F"/>
    <w:rsid w:val="00701FD5"/>
    <w:rsid w:val="00704E8C"/>
    <w:rsid w:val="00706411"/>
    <w:rsid w:val="00712500"/>
    <w:rsid w:val="00712BEB"/>
    <w:rsid w:val="00713C8F"/>
    <w:rsid w:val="00722405"/>
    <w:rsid w:val="00725509"/>
    <w:rsid w:val="00725AF8"/>
    <w:rsid w:val="00736C55"/>
    <w:rsid w:val="0073756A"/>
    <w:rsid w:val="0074086A"/>
    <w:rsid w:val="00740A0B"/>
    <w:rsid w:val="0074525D"/>
    <w:rsid w:val="00746F97"/>
    <w:rsid w:val="007502BE"/>
    <w:rsid w:val="00751473"/>
    <w:rsid w:val="00752413"/>
    <w:rsid w:val="007548A0"/>
    <w:rsid w:val="00755480"/>
    <w:rsid w:val="0076153B"/>
    <w:rsid w:val="00761663"/>
    <w:rsid w:val="00766E15"/>
    <w:rsid w:val="007758BA"/>
    <w:rsid w:val="0078398E"/>
    <w:rsid w:val="00783BE3"/>
    <w:rsid w:val="00784AD3"/>
    <w:rsid w:val="0079137E"/>
    <w:rsid w:val="007928FD"/>
    <w:rsid w:val="00793B52"/>
    <w:rsid w:val="0079724B"/>
    <w:rsid w:val="007B3E3B"/>
    <w:rsid w:val="007B4798"/>
    <w:rsid w:val="007B5B01"/>
    <w:rsid w:val="007B7C26"/>
    <w:rsid w:val="007C28F6"/>
    <w:rsid w:val="007C3FF4"/>
    <w:rsid w:val="007C4841"/>
    <w:rsid w:val="007D5D33"/>
    <w:rsid w:val="007D6667"/>
    <w:rsid w:val="007E0355"/>
    <w:rsid w:val="007E1610"/>
    <w:rsid w:val="007E66D3"/>
    <w:rsid w:val="0080336A"/>
    <w:rsid w:val="008114A1"/>
    <w:rsid w:val="0082008D"/>
    <w:rsid w:val="008204ED"/>
    <w:rsid w:val="00820F94"/>
    <w:rsid w:val="00821A92"/>
    <w:rsid w:val="008275A9"/>
    <w:rsid w:val="00830674"/>
    <w:rsid w:val="008339CB"/>
    <w:rsid w:val="00835B16"/>
    <w:rsid w:val="00842E7E"/>
    <w:rsid w:val="00853DEF"/>
    <w:rsid w:val="008677D1"/>
    <w:rsid w:val="008710A8"/>
    <w:rsid w:val="00874159"/>
    <w:rsid w:val="00883855"/>
    <w:rsid w:val="008841FC"/>
    <w:rsid w:val="00887909"/>
    <w:rsid w:val="00890151"/>
    <w:rsid w:val="008A1336"/>
    <w:rsid w:val="008A4255"/>
    <w:rsid w:val="008A537A"/>
    <w:rsid w:val="008B0285"/>
    <w:rsid w:val="008B0D90"/>
    <w:rsid w:val="008B2143"/>
    <w:rsid w:val="008D1418"/>
    <w:rsid w:val="008D16BB"/>
    <w:rsid w:val="008D2E3E"/>
    <w:rsid w:val="008E0A4E"/>
    <w:rsid w:val="008E341D"/>
    <w:rsid w:val="008F17D6"/>
    <w:rsid w:val="008F3434"/>
    <w:rsid w:val="008F4E3B"/>
    <w:rsid w:val="009025E1"/>
    <w:rsid w:val="009048CF"/>
    <w:rsid w:val="00911594"/>
    <w:rsid w:val="00912DD1"/>
    <w:rsid w:val="0091542B"/>
    <w:rsid w:val="009158F9"/>
    <w:rsid w:val="00930F31"/>
    <w:rsid w:val="00933EFD"/>
    <w:rsid w:val="00943CE5"/>
    <w:rsid w:val="00950FB7"/>
    <w:rsid w:val="00952742"/>
    <w:rsid w:val="00955DC4"/>
    <w:rsid w:val="00960C2F"/>
    <w:rsid w:val="00965B00"/>
    <w:rsid w:val="009672A2"/>
    <w:rsid w:val="0096774E"/>
    <w:rsid w:val="0097048B"/>
    <w:rsid w:val="00971384"/>
    <w:rsid w:val="0097520B"/>
    <w:rsid w:val="009846D6"/>
    <w:rsid w:val="00990E38"/>
    <w:rsid w:val="0099223D"/>
    <w:rsid w:val="0099563C"/>
    <w:rsid w:val="009A06F0"/>
    <w:rsid w:val="009A61F4"/>
    <w:rsid w:val="009A6762"/>
    <w:rsid w:val="009A6EE3"/>
    <w:rsid w:val="009A7C94"/>
    <w:rsid w:val="009B0B28"/>
    <w:rsid w:val="009B657A"/>
    <w:rsid w:val="009B6C19"/>
    <w:rsid w:val="009C12D8"/>
    <w:rsid w:val="009C1A03"/>
    <w:rsid w:val="009C29F8"/>
    <w:rsid w:val="009D0A2E"/>
    <w:rsid w:val="009D2DCC"/>
    <w:rsid w:val="009D3389"/>
    <w:rsid w:val="009D724E"/>
    <w:rsid w:val="009D7A4A"/>
    <w:rsid w:val="009E2B17"/>
    <w:rsid w:val="009E6FA9"/>
    <w:rsid w:val="009F1EBA"/>
    <w:rsid w:val="009F76F9"/>
    <w:rsid w:val="00A0077A"/>
    <w:rsid w:val="00A10908"/>
    <w:rsid w:val="00A12D4C"/>
    <w:rsid w:val="00A14C97"/>
    <w:rsid w:val="00A15639"/>
    <w:rsid w:val="00A20ED3"/>
    <w:rsid w:val="00A2135D"/>
    <w:rsid w:val="00A2143B"/>
    <w:rsid w:val="00A21B87"/>
    <w:rsid w:val="00A229E8"/>
    <w:rsid w:val="00A22DC3"/>
    <w:rsid w:val="00A32ADA"/>
    <w:rsid w:val="00A3325E"/>
    <w:rsid w:val="00A3599D"/>
    <w:rsid w:val="00A40B09"/>
    <w:rsid w:val="00A44209"/>
    <w:rsid w:val="00A459FF"/>
    <w:rsid w:val="00A47107"/>
    <w:rsid w:val="00A523F8"/>
    <w:rsid w:val="00A53D3C"/>
    <w:rsid w:val="00A567F2"/>
    <w:rsid w:val="00A60C7B"/>
    <w:rsid w:val="00A72EF8"/>
    <w:rsid w:val="00A74887"/>
    <w:rsid w:val="00A75519"/>
    <w:rsid w:val="00A765E0"/>
    <w:rsid w:val="00A77FAD"/>
    <w:rsid w:val="00A818AF"/>
    <w:rsid w:val="00A81F02"/>
    <w:rsid w:val="00A82561"/>
    <w:rsid w:val="00A84808"/>
    <w:rsid w:val="00A8748B"/>
    <w:rsid w:val="00A96E10"/>
    <w:rsid w:val="00A9742F"/>
    <w:rsid w:val="00AA7D24"/>
    <w:rsid w:val="00AB28CD"/>
    <w:rsid w:val="00AB68E6"/>
    <w:rsid w:val="00AC347E"/>
    <w:rsid w:val="00AD5D51"/>
    <w:rsid w:val="00AE4D2E"/>
    <w:rsid w:val="00AE75BE"/>
    <w:rsid w:val="00AE7EDC"/>
    <w:rsid w:val="00B053FA"/>
    <w:rsid w:val="00B132B6"/>
    <w:rsid w:val="00B136A8"/>
    <w:rsid w:val="00B20647"/>
    <w:rsid w:val="00B20704"/>
    <w:rsid w:val="00B2080C"/>
    <w:rsid w:val="00B3200F"/>
    <w:rsid w:val="00B34312"/>
    <w:rsid w:val="00B34F31"/>
    <w:rsid w:val="00B5130A"/>
    <w:rsid w:val="00B53B59"/>
    <w:rsid w:val="00B716B1"/>
    <w:rsid w:val="00B80B2C"/>
    <w:rsid w:val="00B8184F"/>
    <w:rsid w:val="00B82E2B"/>
    <w:rsid w:val="00B85269"/>
    <w:rsid w:val="00B87A6A"/>
    <w:rsid w:val="00B90FED"/>
    <w:rsid w:val="00B91C20"/>
    <w:rsid w:val="00B91C81"/>
    <w:rsid w:val="00B927BF"/>
    <w:rsid w:val="00B93C39"/>
    <w:rsid w:val="00B940B2"/>
    <w:rsid w:val="00B9789D"/>
    <w:rsid w:val="00BA2E63"/>
    <w:rsid w:val="00BA40B8"/>
    <w:rsid w:val="00BB011F"/>
    <w:rsid w:val="00BB0DBC"/>
    <w:rsid w:val="00BB34CB"/>
    <w:rsid w:val="00BC5B68"/>
    <w:rsid w:val="00BE12B1"/>
    <w:rsid w:val="00BE4051"/>
    <w:rsid w:val="00BF0D71"/>
    <w:rsid w:val="00C0525B"/>
    <w:rsid w:val="00C05EDC"/>
    <w:rsid w:val="00C0634B"/>
    <w:rsid w:val="00C0640F"/>
    <w:rsid w:val="00C06A2E"/>
    <w:rsid w:val="00C12FD8"/>
    <w:rsid w:val="00C143AC"/>
    <w:rsid w:val="00C16977"/>
    <w:rsid w:val="00C20A7C"/>
    <w:rsid w:val="00C23173"/>
    <w:rsid w:val="00C24CE6"/>
    <w:rsid w:val="00C24FD6"/>
    <w:rsid w:val="00C2590D"/>
    <w:rsid w:val="00C27973"/>
    <w:rsid w:val="00C325F3"/>
    <w:rsid w:val="00C4188F"/>
    <w:rsid w:val="00C427D4"/>
    <w:rsid w:val="00C4744B"/>
    <w:rsid w:val="00C53420"/>
    <w:rsid w:val="00C57BD0"/>
    <w:rsid w:val="00C6079C"/>
    <w:rsid w:val="00C73379"/>
    <w:rsid w:val="00C74DFE"/>
    <w:rsid w:val="00C74E94"/>
    <w:rsid w:val="00C81F3F"/>
    <w:rsid w:val="00C90E15"/>
    <w:rsid w:val="00C91BB2"/>
    <w:rsid w:val="00C92DC3"/>
    <w:rsid w:val="00C95CE1"/>
    <w:rsid w:val="00CA1E81"/>
    <w:rsid w:val="00CB3706"/>
    <w:rsid w:val="00CC2107"/>
    <w:rsid w:val="00CC5D69"/>
    <w:rsid w:val="00CD300C"/>
    <w:rsid w:val="00CD71C0"/>
    <w:rsid w:val="00CE0694"/>
    <w:rsid w:val="00CE4FF7"/>
    <w:rsid w:val="00CF47E3"/>
    <w:rsid w:val="00D0045D"/>
    <w:rsid w:val="00D05208"/>
    <w:rsid w:val="00D12073"/>
    <w:rsid w:val="00D1252B"/>
    <w:rsid w:val="00D15F78"/>
    <w:rsid w:val="00D17F26"/>
    <w:rsid w:val="00D30E4E"/>
    <w:rsid w:val="00D37BED"/>
    <w:rsid w:val="00D45227"/>
    <w:rsid w:val="00D56941"/>
    <w:rsid w:val="00D56B1C"/>
    <w:rsid w:val="00D56B8A"/>
    <w:rsid w:val="00D56E87"/>
    <w:rsid w:val="00D60DDE"/>
    <w:rsid w:val="00D732AA"/>
    <w:rsid w:val="00D73E72"/>
    <w:rsid w:val="00D7576B"/>
    <w:rsid w:val="00D75D9B"/>
    <w:rsid w:val="00D776FC"/>
    <w:rsid w:val="00D81E6B"/>
    <w:rsid w:val="00D856D1"/>
    <w:rsid w:val="00D85902"/>
    <w:rsid w:val="00D8655E"/>
    <w:rsid w:val="00D91328"/>
    <w:rsid w:val="00D93768"/>
    <w:rsid w:val="00D93868"/>
    <w:rsid w:val="00D9531D"/>
    <w:rsid w:val="00DA360E"/>
    <w:rsid w:val="00DA519C"/>
    <w:rsid w:val="00DA79E3"/>
    <w:rsid w:val="00DB3A2C"/>
    <w:rsid w:val="00DB3E86"/>
    <w:rsid w:val="00DB6AC3"/>
    <w:rsid w:val="00DB73CF"/>
    <w:rsid w:val="00DC5283"/>
    <w:rsid w:val="00DC6221"/>
    <w:rsid w:val="00DD3E14"/>
    <w:rsid w:val="00DD43FB"/>
    <w:rsid w:val="00DD7790"/>
    <w:rsid w:val="00DE1C1C"/>
    <w:rsid w:val="00DE1CAC"/>
    <w:rsid w:val="00DE4F2C"/>
    <w:rsid w:val="00DE7C81"/>
    <w:rsid w:val="00DF435C"/>
    <w:rsid w:val="00E02562"/>
    <w:rsid w:val="00E060D5"/>
    <w:rsid w:val="00E06A46"/>
    <w:rsid w:val="00E077C9"/>
    <w:rsid w:val="00E1217D"/>
    <w:rsid w:val="00E161BC"/>
    <w:rsid w:val="00E202A0"/>
    <w:rsid w:val="00E21CD4"/>
    <w:rsid w:val="00E239EA"/>
    <w:rsid w:val="00E27A8D"/>
    <w:rsid w:val="00E355A3"/>
    <w:rsid w:val="00E36EE5"/>
    <w:rsid w:val="00E554A3"/>
    <w:rsid w:val="00E5594E"/>
    <w:rsid w:val="00E62B75"/>
    <w:rsid w:val="00E709F0"/>
    <w:rsid w:val="00E70CD8"/>
    <w:rsid w:val="00E70D0D"/>
    <w:rsid w:val="00E72B46"/>
    <w:rsid w:val="00E739AF"/>
    <w:rsid w:val="00E82A2D"/>
    <w:rsid w:val="00E94010"/>
    <w:rsid w:val="00E97E8D"/>
    <w:rsid w:val="00EA6E40"/>
    <w:rsid w:val="00EB2764"/>
    <w:rsid w:val="00EB5FAA"/>
    <w:rsid w:val="00EB7592"/>
    <w:rsid w:val="00ED750E"/>
    <w:rsid w:val="00F0396E"/>
    <w:rsid w:val="00F173F2"/>
    <w:rsid w:val="00F2073B"/>
    <w:rsid w:val="00F211D0"/>
    <w:rsid w:val="00F22338"/>
    <w:rsid w:val="00F22409"/>
    <w:rsid w:val="00F247FD"/>
    <w:rsid w:val="00F25148"/>
    <w:rsid w:val="00F25E2B"/>
    <w:rsid w:val="00F27352"/>
    <w:rsid w:val="00F27A80"/>
    <w:rsid w:val="00F27B5D"/>
    <w:rsid w:val="00F30556"/>
    <w:rsid w:val="00F31DFA"/>
    <w:rsid w:val="00F42DCF"/>
    <w:rsid w:val="00F4664B"/>
    <w:rsid w:val="00F57A4F"/>
    <w:rsid w:val="00F617BD"/>
    <w:rsid w:val="00F65B0B"/>
    <w:rsid w:val="00F728D6"/>
    <w:rsid w:val="00F72928"/>
    <w:rsid w:val="00F73EE3"/>
    <w:rsid w:val="00F74212"/>
    <w:rsid w:val="00F77FE1"/>
    <w:rsid w:val="00F80076"/>
    <w:rsid w:val="00F80E2A"/>
    <w:rsid w:val="00F919F1"/>
    <w:rsid w:val="00F93392"/>
    <w:rsid w:val="00F955CC"/>
    <w:rsid w:val="00F96040"/>
    <w:rsid w:val="00FA2D78"/>
    <w:rsid w:val="00FB12B9"/>
    <w:rsid w:val="00FB38D4"/>
    <w:rsid w:val="00FC1A93"/>
    <w:rsid w:val="00FC64E4"/>
    <w:rsid w:val="00FD3E4C"/>
    <w:rsid w:val="00FE52D6"/>
    <w:rsid w:val="00FF1405"/>
    <w:rsid w:val="00FF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B62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B62F8"/>
    <w:rPr>
      <w:kern w:val="2"/>
      <w:sz w:val="18"/>
      <w:szCs w:val="18"/>
    </w:rPr>
  </w:style>
  <w:style w:type="paragraph" w:styleId="a4">
    <w:name w:val="footer"/>
    <w:basedOn w:val="a"/>
    <w:link w:val="Char0"/>
    <w:uiPriority w:val="99"/>
    <w:rsid w:val="002B62F8"/>
    <w:pPr>
      <w:tabs>
        <w:tab w:val="center" w:pos="4153"/>
        <w:tab w:val="right" w:pos="8306"/>
      </w:tabs>
      <w:snapToGrid w:val="0"/>
      <w:jc w:val="left"/>
    </w:pPr>
    <w:rPr>
      <w:sz w:val="18"/>
      <w:szCs w:val="18"/>
    </w:rPr>
  </w:style>
  <w:style w:type="character" w:customStyle="1" w:styleId="Char0">
    <w:name w:val="页脚 Char"/>
    <w:basedOn w:val="a0"/>
    <w:link w:val="a4"/>
    <w:uiPriority w:val="99"/>
    <w:rsid w:val="002B62F8"/>
    <w:rPr>
      <w:kern w:val="2"/>
      <w:sz w:val="18"/>
      <w:szCs w:val="18"/>
    </w:rPr>
  </w:style>
  <w:style w:type="character" w:customStyle="1" w:styleId="apple-converted-space">
    <w:name w:val="apple-converted-space"/>
    <w:basedOn w:val="a0"/>
    <w:rsid w:val="002B6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B62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B62F8"/>
    <w:rPr>
      <w:kern w:val="2"/>
      <w:sz w:val="18"/>
      <w:szCs w:val="18"/>
    </w:rPr>
  </w:style>
  <w:style w:type="paragraph" w:styleId="a4">
    <w:name w:val="footer"/>
    <w:basedOn w:val="a"/>
    <w:link w:val="Char0"/>
    <w:uiPriority w:val="99"/>
    <w:rsid w:val="002B62F8"/>
    <w:pPr>
      <w:tabs>
        <w:tab w:val="center" w:pos="4153"/>
        <w:tab w:val="right" w:pos="8306"/>
      </w:tabs>
      <w:snapToGrid w:val="0"/>
      <w:jc w:val="left"/>
    </w:pPr>
    <w:rPr>
      <w:sz w:val="18"/>
      <w:szCs w:val="18"/>
    </w:rPr>
  </w:style>
  <w:style w:type="character" w:customStyle="1" w:styleId="Char0">
    <w:name w:val="页脚 Char"/>
    <w:basedOn w:val="a0"/>
    <w:link w:val="a4"/>
    <w:uiPriority w:val="99"/>
    <w:rsid w:val="002B62F8"/>
    <w:rPr>
      <w:kern w:val="2"/>
      <w:sz w:val="18"/>
      <w:szCs w:val="18"/>
    </w:rPr>
  </w:style>
  <w:style w:type="character" w:customStyle="1" w:styleId="apple-converted-space">
    <w:name w:val="apple-converted-space"/>
    <w:basedOn w:val="a0"/>
    <w:rsid w:val="002B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14117">
      <w:bodyDiv w:val="1"/>
      <w:marLeft w:val="0"/>
      <w:marRight w:val="0"/>
      <w:marTop w:val="0"/>
      <w:marBottom w:val="0"/>
      <w:divBdr>
        <w:top w:val="none" w:sz="0" w:space="0" w:color="auto"/>
        <w:left w:val="none" w:sz="0" w:space="0" w:color="auto"/>
        <w:bottom w:val="none" w:sz="0" w:space="0" w:color="auto"/>
        <w:right w:val="none" w:sz="0" w:space="0" w:color="auto"/>
      </w:divBdr>
      <w:divsChild>
        <w:div w:id="1352148550">
          <w:marLeft w:val="0"/>
          <w:marRight w:val="0"/>
          <w:marTop w:val="0"/>
          <w:marBottom w:val="0"/>
          <w:divBdr>
            <w:top w:val="none" w:sz="0" w:space="0" w:color="auto"/>
            <w:left w:val="none" w:sz="0" w:space="0" w:color="auto"/>
            <w:bottom w:val="none" w:sz="0" w:space="0" w:color="auto"/>
            <w:right w:val="none" w:sz="0" w:space="0" w:color="auto"/>
          </w:divBdr>
          <w:divsChild>
            <w:div w:id="1802378628">
              <w:marLeft w:val="0"/>
              <w:marRight w:val="0"/>
              <w:marTop w:val="0"/>
              <w:marBottom w:val="0"/>
              <w:divBdr>
                <w:top w:val="single" w:sz="8" w:space="1" w:color="auto"/>
                <w:left w:val="none" w:sz="0" w:space="0" w:color="auto"/>
                <w:bottom w:val="single" w:sz="8" w:space="1" w:color="auto"/>
                <w:right w:val="none" w:sz="0" w:space="0" w:color="auto"/>
              </w:divBdr>
            </w:div>
          </w:divsChild>
        </w:div>
        <w:div w:id="879588624">
          <w:marLeft w:val="0"/>
          <w:marRight w:val="0"/>
          <w:marTop w:val="0"/>
          <w:marBottom w:val="0"/>
          <w:divBdr>
            <w:top w:val="none" w:sz="0" w:space="0" w:color="auto"/>
            <w:left w:val="none" w:sz="0" w:space="0" w:color="auto"/>
            <w:bottom w:val="none" w:sz="0" w:space="0" w:color="auto"/>
            <w:right w:val="none" w:sz="0" w:space="0" w:color="auto"/>
          </w:divBdr>
        </w:div>
      </w:divsChild>
    </w:div>
    <w:div w:id="1173565645">
      <w:bodyDiv w:val="1"/>
      <w:marLeft w:val="0"/>
      <w:marRight w:val="0"/>
      <w:marTop w:val="0"/>
      <w:marBottom w:val="0"/>
      <w:divBdr>
        <w:top w:val="none" w:sz="0" w:space="0" w:color="auto"/>
        <w:left w:val="none" w:sz="0" w:space="0" w:color="auto"/>
        <w:bottom w:val="none" w:sz="0" w:space="0" w:color="auto"/>
        <w:right w:val="none" w:sz="0" w:space="0" w:color="auto"/>
      </w:divBdr>
      <w:divsChild>
        <w:div w:id="763497618">
          <w:marLeft w:val="0"/>
          <w:marRight w:val="0"/>
          <w:marTop w:val="0"/>
          <w:marBottom w:val="0"/>
          <w:divBdr>
            <w:top w:val="single" w:sz="8" w:space="1"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504</Words>
  <Characters>2875</Characters>
  <Application>Microsoft Office Word</Application>
  <DocSecurity>0</DocSecurity>
  <Lines>23</Lines>
  <Paragraphs>6</Paragraphs>
  <ScaleCrop>false</ScaleCrop>
  <Company>china</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2018-06-06T07:26:00Z</dcterms:created>
  <dcterms:modified xsi:type="dcterms:W3CDTF">2019-09-02T06:09:00Z</dcterms:modified>
</cp:coreProperties>
</file>