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uto"/>
        <w:jc w:val="both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1：</w:t>
      </w:r>
    </w:p>
    <w:p>
      <w:pPr>
        <w:pStyle w:val="6"/>
        <w:widowControl/>
        <w:spacing w:line="360" w:lineRule="auto"/>
        <w:jc w:val="center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广州市越秀区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退役军人事务局</w:t>
      </w:r>
      <w:r>
        <w:rPr>
          <w:rFonts w:hint="eastAsia" w:ascii="黑体" w:hAnsi="黑体" w:eastAsia="黑体"/>
          <w:kern w:val="0"/>
          <w:sz w:val="32"/>
          <w:szCs w:val="32"/>
        </w:rPr>
        <w:t>属下事业单位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公开选调工作人员</w:t>
      </w:r>
      <w:r>
        <w:rPr>
          <w:rFonts w:hint="eastAsia" w:ascii="黑体" w:hAnsi="黑体" w:eastAsia="黑体"/>
          <w:kern w:val="0"/>
          <w:sz w:val="32"/>
          <w:szCs w:val="32"/>
        </w:rPr>
        <w:t>职位表</w:t>
      </w:r>
    </w:p>
    <w:bookmarkEnd w:id="0"/>
    <w:tbl>
      <w:tblPr>
        <w:tblStyle w:val="5"/>
        <w:tblW w:w="14810" w:type="dxa"/>
        <w:jc w:val="center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765"/>
        <w:gridCol w:w="795"/>
        <w:gridCol w:w="845"/>
        <w:gridCol w:w="698"/>
        <w:gridCol w:w="1371"/>
        <w:gridCol w:w="1381"/>
        <w:gridCol w:w="1255"/>
        <w:gridCol w:w="2219"/>
        <w:gridCol w:w="283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岗位类型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</w:p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职位数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专业及代码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学历、学位要求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/>
                <w:color w:val="000000"/>
                <w:kern w:val="0"/>
                <w:sz w:val="20"/>
                <w:szCs w:val="20"/>
                <w:lang w:eastAsia="zh-CN"/>
              </w:rPr>
              <w:t>选调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广州市越秀区退役军人服务中心（广州市越秀区退役军人权益维护中心）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九级职员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本科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及以上学历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、学士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eastAsia="zh-CN"/>
              </w:rPr>
              <w:t>及以上学位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center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在编、在职（岗）满1年的广州市越秀区内公益一类事业单位管理岗位工作人员。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周岁以下（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1979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default" w:eastAsia="仿宋_GB2312"/>
                <w:color w:val="auto"/>
                <w:kern w:val="0"/>
                <w:sz w:val="20"/>
                <w:szCs w:val="20"/>
                <w:lang w:eastAsia="zh-CN"/>
              </w:rPr>
              <w:t>日以后出生</w:t>
            </w:r>
            <w:r>
              <w:rPr>
                <w:rFonts w:eastAsia="仿宋_GB2312"/>
                <w:color w:val="auto"/>
                <w:kern w:val="0"/>
                <w:sz w:val="20"/>
                <w:szCs w:val="20"/>
              </w:rPr>
              <w:t>）</w:t>
            </w:r>
            <w:r>
              <w:rPr>
                <w:rFonts w:hint="eastAsia" w:eastAsia="仿宋_GB2312"/>
                <w:color w:val="auto"/>
                <w:kern w:val="0"/>
                <w:sz w:val="20"/>
                <w:szCs w:val="20"/>
              </w:rPr>
              <w:t>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ind w:left="0" w:leftChars="0" w:right="0" w:rightChars="0" w:firstLine="0" w:firstLineChars="0"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B50F9"/>
    <w:rsid w:val="33BB50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1"/>
    <w:basedOn w:val="1"/>
    <w:link w:val="2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styleId="4">
    <w:name w:val="page number"/>
    <w:basedOn w:val="2"/>
    <w:uiPriority w:val="0"/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7">
    <w:name w:val="页眉 New"/>
    <w:basedOn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页脚 New"/>
    <w:basedOn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2019-11-20T07:10:00Z</dcterms:created>
  <dc:creator>孙艺萌</dc:creator>
  <cp:lastModifiedBy>孙艺萌</cp:lastModifiedBy>
  <dcterms:modified xsi:type="dcterms:W3CDTF">2019-11-20T07:10:46Z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