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阳朔县</w:t>
      </w: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自然</w:t>
      </w:r>
      <w:r>
        <w:rPr>
          <w:rFonts w:hint="eastAsia" w:ascii="黑体" w:hAnsi="仿宋_GB2312" w:eastAsia="黑体" w:cs="仿宋_GB2312"/>
          <w:bCs/>
          <w:sz w:val="32"/>
          <w:szCs w:val="32"/>
        </w:rPr>
        <w:t>资源局招聘编外工作人员报名登记表（201</w:t>
      </w:r>
      <w:r>
        <w:rPr>
          <w:rFonts w:hint="eastAsia" w:ascii="黑体" w:hAnsi="仿宋_GB2312" w:eastAsia="黑体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年）</w:t>
      </w:r>
    </w:p>
    <w:tbl>
      <w:tblPr>
        <w:tblStyle w:val="3"/>
        <w:tblpPr w:leftFromText="180" w:rightFromText="180" w:vertAnchor="text" w:horzAnchor="page" w:tblpX="1207" w:tblpY="31"/>
        <w:tblOverlap w:val="never"/>
        <w:tblW w:w="98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</w:t>
            </w:r>
            <w:r>
              <w:rPr>
                <w:rFonts w:hint="eastAsia" w:eastAsia="仿宋_GB2312"/>
                <w:lang w:eastAsia="zh-CN"/>
              </w:rPr>
              <w:t>阳朔县自然</w:t>
            </w:r>
            <w:r>
              <w:rPr>
                <w:rFonts w:hint="eastAsia" w:eastAsia="仿宋_GB2312"/>
              </w:rPr>
              <w:t>资源局根据工作需要对应聘职位进行调剂。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spacing w:after="156" w:afterLines="50" w:line="200" w:lineRule="exact"/>
        <w:jc w:val="center"/>
        <w:rPr>
          <w:rFonts w:hint="eastAsia" w:ascii="黑体" w:hAnsi="仿宋_GB2312" w:eastAsia="黑体" w:cs="仿宋_GB2312"/>
          <w:bCs/>
          <w:sz w:val="18"/>
          <w:szCs w:val="18"/>
        </w:rPr>
      </w:pPr>
    </w:p>
    <w:p>
      <w:pPr>
        <w:spacing w:line="240" w:lineRule="exac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/>
          <w:kern w:val="0"/>
        </w:rPr>
        <w:t>备注：本表一式两份。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462D"/>
    <w:rsid w:val="2A3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2019-10-18T04:48:00Z</dcterms:created>
  <dc:creator>工作</dc:creator>
  <cp:lastModifiedBy>工作</cp:lastModifiedBy>
  <dcterms:modified xsi:type="dcterms:W3CDTF">2019-10-18T04:48:26Z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