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附件二</w:t>
      </w:r>
    </w:p>
    <w:p>
      <w:pPr>
        <w:ind w:left="-567" w:leftChars="-270"/>
        <w:rPr>
          <w:rFonts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黑体" w:eastAsia="黑体" w:cs="黑体"/>
          <w:b/>
          <w:color w:val="0C0C0C"/>
          <w:sz w:val="32"/>
          <w:szCs w:val="32"/>
        </w:rPr>
      </w:pPr>
      <w:r>
        <w:rPr>
          <w:rFonts w:hint="eastAsia" w:ascii="黑体" w:eastAsia="黑体" w:cs="黑体"/>
          <w:b/>
          <w:color w:val="0C0C0C"/>
          <w:sz w:val="32"/>
          <w:szCs w:val="32"/>
        </w:rPr>
        <w:t>不宜聘用对象认定办法</w:t>
      </w:r>
    </w:p>
    <w:p>
      <w:pPr>
        <w:spacing w:line="300" w:lineRule="auto"/>
        <w:jc w:val="center"/>
        <w:rPr>
          <w:rFonts w:ascii="仿宋_GB2312" w:eastAsia="仿宋_GB2312" w:cs="仿宋_GB2312"/>
          <w:color w:val="0C0C0C"/>
          <w:sz w:val="32"/>
          <w:szCs w:val="32"/>
        </w:rPr>
      </w:pP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有下列情形之一的，认定为不宜聘用对象：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一、曾有严重违反党的路线、方针、政策和国家法律的行为，并经有关部门认定的；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二、曾受到开除中国共产党党籍处分、开除中国共产主义青年团团籍处分的；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三、曾受过劳动教养的或近两年内受到行政拘留、司法拘留的；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四、曾以营利为目的、为赌博提供条件以及参与赌博赌资较大，被有关部门处罚的；或曾组织、利用迷信活动，扰乱社会秩序、损害他人身体健康，被有关部门处罚的；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五、曾被有关部门认定参与邪教、吸毒、色情、盗窃、贪污、贿赂、诈骗等违法犯罪活动的；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六、受行政警告处分未满一年、受行政记过及以上处分未满两年的，或受党、团内警告未满一年或受严重警告及以上处分未满两年的，或在高校学习期间受警告、严重警告处分未满一年或受记过以上处分未满两年的；</w:t>
      </w:r>
    </w:p>
    <w:p>
      <w:pPr>
        <w:spacing w:line="300" w:lineRule="auto"/>
        <w:ind w:firstLine="640" w:firstLineChars="200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七、不符合报考资格条件，或在招聘过程中违纪舞弊、弄虚作假行为的；</w:t>
      </w:r>
    </w:p>
    <w:p>
      <w:pPr>
        <w:spacing w:line="300" w:lineRule="auto"/>
        <w:ind w:firstLine="640" w:firstLineChars="200"/>
        <w:rPr>
          <w:color w:val="0C0C0C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八、有不宜聘用的其他情形的。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33AC"/>
    <w:rsid w:val="6D7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2019-09-03T07:23:00Z</dcterms:created>
  <dc:creator>rcsc</dc:creator>
  <cp:lastModifiedBy>rcsc</cp:lastModifiedBy>
  <dcterms:modified xsi:type="dcterms:W3CDTF">2019-09-03T07:23:38Z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