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33" w:rsidRPr="000A6333" w:rsidRDefault="000A6333" w:rsidP="000A6333">
      <w:pPr>
        <w:adjustRightInd/>
        <w:snapToGrid/>
        <w:spacing w:after="0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0A6333">
        <w:rPr>
          <w:rFonts w:ascii="微软雅黑" w:hAnsi="微软雅黑" w:cs="宋体" w:hint="eastAsia"/>
          <w:color w:val="686868"/>
          <w:sz w:val="24"/>
          <w:szCs w:val="24"/>
        </w:rPr>
        <w:t>四、招聘岗位、人数、专业、学历和范围及资格条件</w:t>
      </w:r>
    </w:p>
    <w:tbl>
      <w:tblPr>
        <w:tblW w:w="8717" w:type="dxa"/>
        <w:tblCellSpacing w:w="0" w:type="dxa"/>
        <w:tblInd w:w="135" w:type="dxa"/>
        <w:tblCellMar>
          <w:left w:w="0" w:type="dxa"/>
          <w:right w:w="0" w:type="dxa"/>
        </w:tblCellMar>
        <w:tblLook w:val="04A0"/>
      </w:tblPr>
      <w:tblGrid>
        <w:gridCol w:w="1197"/>
        <w:gridCol w:w="915"/>
        <w:gridCol w:w="780"/>
        <w:gridCol w:w="1320"/>
        <w:gridCol w:w="2040"/>
        <w:gridCol w:w="810"/>
        <w:gridCol w:w="1655"/>
      </w:tblGrid>
      <w:tr w:rsidR="000A6333" w:rsidRPr="000A6333" w:rsidTr="000A6333">
        <w:trPr>
          <w:tblCellSpacing w:w="0" w:type="dxa"/>
        </w:trPr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岗位类别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人数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岗位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职责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招聘专业及学历（学位）要求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招聘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范围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其他资格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条件</w:t>
            </w:r>
          </w:p>
        </w:tc>
      </w:tr>
      <w:tr w:rsidR="000A6333" w:rsidRPr="000A6333" w:rsidTr="000A6333">
        <w:trPr>
          <w:trHeight w:val="1455"/>
          <w:tblCellSpacing w:w="0" w:type="dxa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财务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从事财务兼文秘等工作。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会计学或财务管理专业；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本科及以上学历、学士及以上学位。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宁波大市户籍和生源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2019年全日制普通高等院校应届毕业生。</w:t>
            </w:r>
          </w:p>
        </w:tc>
      </w:tr>
      <w:tr w:rsidR="000A6333" w:rsidRPr="000A6333" w:rsidTr="000A6333">
        <w:trPr>
          <w:trHeight w:val="1455"/>
          <w:tblCellSpacing w:w="0" w:type="dxa"/>
        </w:trPr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药品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检验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专技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从事药品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检验工作。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本科阶段专业要求：药学类或化学类；</w:t>
            </w:r>
          </w:p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研究生阶段专业要求：药学一级学科下的药物化学、药物分析学二级学科专业或化学一级学科下的无机化学、分析化学、有机化学二级学科专业；研究生及以上学历、硕士及以上学位。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浙江省户籍和生源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6333" w:rsidRPr="000A6333" w:rsidRDefault="000A6333" w:rsidP="000A6333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A6333">
              <w:rPr>
                <w:rFonts w:ascii="微软雅黑" w:hAnsi="微软雅黑" w:cs="宋体" w:hint="eastAsia"/>
                <w:color w:val="686868"/>
                <w:sz w:val="24"/>
                <w:szCs w:val="24"/>
              </w:rPr>
              <w:t>已取得学历（学位）的历届毕业生，年龄35周岁以下。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6333"/>
    <w:rsid w:val="002648E2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3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2019-07-23T02:55:00Z</dcterms:modified>
</cp:coreProperties>
</file>