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212725</wp:posOffset>
                </wp:positionV>
                <wp:extent cx="8362950" cy="4381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5530" y="1115695"/>
                          <a:ext cx="8362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bidi="ar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bidi="ar"/>
                              </w:rPr>
                              <w:t>年福建省食品药品认证审评中心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eastAsia="zh-CN" w:bidi="ar"/>
                              </w:rPr>
                              <w:t>招聘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bidi="ar"/>
                              </w:rPr>
                              <w:t>合同制专业技术人员岗位信息表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16.75pt;height:34.5pt;width:658.5pt;z-index:-251658240;mso-width-relative:page;mso-height-relative:page;" fillcolor="#FFFFFF [3201]" filled="t" stroked="f" coordsize="21600,21600" o:gfxdata="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TXkZ9QAAAAKAQAADwAAAAAAAAABACAAAAAiAAAAZHJzL2Rvd25y&#10;ZXYueG1sUEsBAhQAFAAAAAgAh07iQATHaRk7AgAATQQAAA4AAAAAAAAAAQAgAAAAI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bidi="ar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bidi="ar"/>
                        </w:rPr>
                        <w:t>201</w:t>
                      </w: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9</w:t>
                      </w: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bidi="ar"/>
                        </w:rPr>
                        <w:t>年福建省食品药品认证审评中心</w:t>
                      </w: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eastAsia="zh-CN" w:bidi="ar"/>
                        </w:rPr>
                        <w:t>招聘</w:t>
                      </w: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bidi="ar"/>
                        </w:rPr>
                        <w:t>合同制专业技术人员岗位信息表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Spec="center" w:tblpY="621"/>
        <w:tblOverlap w:val="never"/>
        <w:tblW w:w="16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765"/>
        <w:gridCol w:w="6576"/>
        <w:gridCol w:w="991"/>
        <w:gridCol w:w="459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化妆品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审评员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化学工程与工艺，化学工程，化学工艺，应用化学，应用化工技术，有机化工生产技术，精细化学品生产技术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全日制普通高等院校研究生学历，硕士及以上学位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研究生及本科阶段均为全日制且所学专业应相同或相近；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有两年及以上研究、生产、质量检验等化妆品相关专业工作经验者优先。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化妆品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审评员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中药学、中药制药、药理学、药剂学、生药学 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研究生及本科阶段均为全日制且所学专业应相同或相近；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有两年及以上研究、生产、质量检验等化妆品相关专业工作经验者优先。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化妆品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审评员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预防医学、药理学、卫生毒理学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研究生及本科阶段均为全日制且所学专业应相同或相近；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有两年及以上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研究、生产、质量检验等化妆品相关专业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工作经验者优先。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注册审评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药学、药剂学、药物制剂、制药工程、药物分析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有两年及以上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生产或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检验等相关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工作经验者优先。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所属院校为医药院校或综合性大学医药院系。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仿宋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招聘岗位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其他条件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05药品注册审评员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中药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中药制药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生药学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、中药鉴定与质量检测技术</w:t>
            </w:r>
          </w:p>
        </w:tc>
        <w:tc>
          <w:tcPr>
            <w:tcW w:w="9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全日制普通高等院校研究生学历，硕士及以上学位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有两年及以上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生产或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检验等相关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所属院校为医药院校或综合性大学医药院系。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药品G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P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检查员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药学、药剂学、药物制剂、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制药工程、药物分析、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中药（学）、中药制药、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生药学、药事管理、药理学、临床药学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本岗位需适应出差与加班，适合男性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有两年及以上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药品生产、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经营、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检验等相关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所属院校为医药院校或综合性大学医药院系。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无源医疗器械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技术审评与现场检查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生物医学工程、高分子材料与工程、高分子材料加工工程、材料学、材料加工工程、材料成型及控制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口腔医学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、眼科学、耳鼻咽喉科学、康复医学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均为全日制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所学专业应相同或相近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 w:val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具有医疗器械设计、生产、检测、质量管理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有源医疗器械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技术审评与现场检查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疗器械工程、医学影像技术、生物医学工程（电子方向）、电气工程及其自动化（弱电方向）、电气工程与自动化（弱电方向）、电气自动化（弱电方向）、电子信息工程、电子与信息技术、电路与系统、机械电子工程、电磁场与无线技术、无线电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电子与通信工程，信号与信息处理，精密仪器及机械，测试计量技术及仪器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招聘岗位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其他条件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诊断试剂技术审评与现场检查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临床医学、流行病与卫生统计学、公共卫生与预防医学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全日制普通高等院校研究生学历，硕士及以上学位</w:t>
            </w:r>
          </w:p>
        </w:tc>
        <w:tc>
          <w:tcPr>
            <w:tcW w:w="4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均为全日制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所学专业应相同或相近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3.具有医疗器械设计、生产、检测、质量管理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诊断试剂技术审评与现场检查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临床检验诊断学、生物化学与分子生物学、卫生检验、分子生物医学、医学实验学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化妆品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检查员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工作地点分别为省局驻福州、厦门、三明稽查办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药学、药剂学、药物制剂、制药工程、药物分析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学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及以上学位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2.本岗位需适应出差与加班。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研究生及本科阶段均为全日制且所学专业应相同或相近；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本科毕业具有三年及以上研究、生产、质量检验等化妆品相关专业工作经验或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毕业。</w:t>
            </w:r>
          </w:p>
          <w:p>
            <w:pPr>
              <w:widowControl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综合成绩排名第1名工作地点为厦门，第2名工作地点为福州，第3名工作地点为三明。</w:t>
            </w:r>
          </w:p>
          <w:p>
            <w:pPr>
              <w:widowControl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招聘岗位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其他条件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药品检查员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工作地点分别为省局驻福州、厦门、三明稽查办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药学、药剂学、药物制剂、制药工程、药物分析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（学）、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中药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中药制药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生药学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、药事管理、药物化学、生物工程、中药制药技术、生物制药技术、药物制剂技术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及以上学位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本岗位需适应出差与加班，适合男性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本科毕业具有三年及以上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药品生产、质量或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检验等相关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工作经验或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毕业。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widowControl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综合成绩排名第1名工作地点为厦门，第2名工作地点为福州，第3名工作地点为三明。</w:t>
            </w:r>
          </w:p>
          <w:p>
            <w:pPr>
              <w:widowControl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2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医疗器械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检查员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无源医疗器械岗位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工作地点为省局驻福州稽查办2.有源医疗器械岗位工作地点为省局驻厦门稽查办3.诊断试剂岗位工作地点为省局驻厦门稽查办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Calibri" w:eastAsia="仿宋_GB2312" w:cs="Times New Roman"/>
                <w:color w:val="000000"/>
                <w:kern w:val="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生物医学工程、高分子材料与工程、高分子材料加工工程、材料学、材料加工工程、材料成型及控制工程、口腔医学、眼科学、耳鼻咽喉科学、康复医学</w:t>
            </w:r>
          </w:p>
        </w:tc>
        <w:tc>
          <w:tcPr>
            <w:tcW w:w="9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及以上学位</w:t>
            </w:r>
          </w:p>
        </w:tc>
        <w:tc>
          <w:tcPr>
            <w:tcW w:w="4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-1"/>
                <w:numId w:val="0"/>
              </w:numPr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均为全日制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所学专业应相同或相近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本科毕业具有三年及以上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医疗器械设计、生产、检测、质量管理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或研究生毕业。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根据报名情况三个专业招聘人员可调剂使用。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Calibri" w:eastAsia="仿宋_GB2312" w:cs="Times New Roman"/>
                <w:color w:val="000000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医疗器械工程、医学影像技术、生物医学工程（电子方向）、电气工程及其自动化（弱电方向）、电气工程与自动化（弱电方向）、电气自动化（弱电方向）、电子信息工程、电子与信息技术、电路与系统、机械电子工程、电磁场与无线技术、无线电技术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电子与通信工程，信号与信息处理，精密仪器及机械，测试计量技术及仪器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Calibri" w:eastAsia="仿宋_GB2312" w:cs="Times New Roman"/>
                <w:color w:val="000000"/>
                <w:kern w:val="2"/>
                <w:sz w:val="24"/>
                <w:highlight w:val="none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临床医学、流行病与卫生统计学、公共卫生与预防医学、临床检验诊断学、生物化学与分子生物学、卫生检验、分子生物医学、医学实验学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信息技术与数据管理岗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信息管理与信息系统、计算机科学与信息技术、计算机信息应用、计算机与信息科学、计算机数据库管理、计算机系统维护、计算机网络及信息管理、文秘与办公自动化（技术）、计算机科学与技术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及以上学位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1.熟悉计算机操作系统、管理主流网络安全设备；熟练掌握office等办公软件。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2具有独立工作能力、较强的学习能力；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有良好的沟通协作能力和书面表达能力。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highlight w:val="none"/>
        </w:rPr>
      </w:pPr>
    </w:p>
    <w:sectPr>
      <w:pgSz w:w="16838" w:h="11906" w:orient="landscape"/>
      <w:pgMar w:top="1077" w:right="1304" w:bottom="964" w:left="130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37B7"/>
    <w:multiLevelType w:val="singleLevel"/>
    <w:tmpl w:val="575D37B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176C"/>
    <w:rsid w:val="04AF042D"/>
    <w:rsid w:val="05F65A6D"/>
    <w:rsid w:val="07D333BA"/>
    <w:rsid w:val="0A001B29"/>
    <w:rsid w:val="110F5667"/>
    <w:rsid w:val="113B30B7"/>
    <w:rsid w:val="13A96EAA"/>
    <w:rsid w:val="14516FCA"/>
    <w:rsid w:val="161B7F45"/>
    <w:rsid w:val="1BDD09C2"/>
    <w:rsid w:val="1CB17235"/>
    <w:rsid w:val="1D785958"/>
    <w:rsid w:val="1DBB4A0D"/>
    <w:rsid w:val="1E807895"/>
    <w:rsid w:val="23BF4E7C"/>
    <w:rsid w:val="244420B4"/>
    <w:rsid w:val="265542C4"/>
    <w:rsid w:val="268437FD"/>
    <w:rsid w:val="29FD55B5"/>
    <w:rsid w:val="2A1C0F2A"/>
    <w:rsid w:val="2BC327CA"/>
    <w:rsid w:val="2FBA27EB"/>
    <w:rsid w:val="347126D6"/>
    <w:rsid w:val="375248E1"/>
    <w:rsid w:val="38575E66"/>
    <w:rsid w:val="391252B2"/>
    <w:rsid w:val="3B806D86"/>
    <w:rsid w:val="3CC67C09"/>
    <w:rsid w:val="3D051A4C"/>
    <w:rsid w:val="3D6E634E"/>
    <w:rsid w:val="3E2A4766"/>
    <w:rsid w:val="3E812809"/>
    <w:rsid w:val="3E96593E"/>
    <w:rsid w:val="405D1774"/>
    <w:rsid w:val="40E1148F"/>
    <w:rsid w:val="41A81CFA"/>
    <w:rsid w:val="435E59F6"/>
    <w:rsid w:val="437B2C48"/>
    <w:rsid w:val="445A0F4C"/>
    <w:rsid w:val="45426584"/>
    <w:rsid w:val="48CD3C93"/>
    <w:rsid w:val="4A1C2F43"/>
    <w:rsid w:val="4C01348C"/>
    <w:rsid w:val="4EB07BA9"/>
    <w:rsid w:val="515F61CB"/>
    <w:rsid w:val="52496D87"/>
    <w:rsid w:val="55124C15"/>
    <w:rsid w:val="592C0626"/>
    <w:rsid w:val="5B5C017F"/>
    <w:rsid w:val="5C2956B1"/>
    <w:rsid w:val="5D7F176C"/>
    <w:rsid w:val="5FEE51E5"/>
    <w:rsid w:val="60A07319"/>
    <w:rsid w:val="614B2AC3"/>
    <w:rsid w:val="64422408"/>
    <w:rsid w:val="66044701"/>
    <w:rsid w:val="68E008BE"/>
    <w:rsid w:val="69EA4C3C"/>
    <w:rsid w:val="6A7D6174"/>
    <w:rsid w:val="6D482F2B"/>
    <w:rsid w:val="6E0010E6"/>
    <w:rsid w:val="6E84786D"/>
    <w:rsid w:val="72290242"/>
    <w:rsid w:val="73377063"/>
    <w:rsid w:val="74170A14"/>
    <w:rsid w:val="74F34838"/>
    <w:rsid w:val="75606508"/>
    <w:rsid w:val="77BF6CDE"/>
    <w:rsid w:val="7BCD7808"/>
    <w:rsid w:val="7E046B26"/>
    <w:rsid w:val="7E7F6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2018-02-14T08:37:00Z</dcterms:created>
  <dc:creator>认证审评</dc:creator>
  <cp:lastModifiedBy>010</cp:lastModifiedBy>
  <cp:lastPrinted>2019-06-21T04:15:00Z</cp:lastPrinted>
  <dcterms:modified xsi:type="dcterms:W3CDTF">2019-06-24T03:01:19Z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