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22"/>
        <w:rPr>
          <w:color w:val="2B2B2B"/>
        </w:rPr>
      </w:pPr>
      <w:r>
        <w:rPr>
          <w:rFonts w:hint="eastAsia"/>
          <w:b/>
          <w:bCs/>
          <w:color w:val="2B2B2B"/>
        </w:rPr>
        <w:t>附件2：面试考生须知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1.抽签开始后，迟到考生不得进入抽签现场，按缺考处理。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2.考生应自觉关闭通讯工具，按要求统一封存。对面试封闭区域内使用通讯工具的考生，按考试违纪有关规定处理。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3.考生按预分组抽签确定考场及面试次序。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4.考生应服从工作人员安排，面试前自觉在候考室候考，不得随意离开候考室；面试时由引导员按次序引入考场。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5.考生进入考场后应保持沉着冷静，自觉配合主考官进行面试。没有听清试题时，可以向主考官询问。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6.考生在面试中不得介绍个人姓名、身份证号、准考证号、报名序号、籍贯、就读院校、经历等个人状况。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7.面试时长为每考生不超过12分钟。面试答题完毕后在考场外等候公布成绩。考生听取面试成绩并签字确认后，立即离开考区。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8.考生应自觉保守试题秘密。不得在考区谈论考试内容；不得向他人传递面试信息或扩散面试试题内容。</w:t>
      </w:r>
    </w:p>
    <w:p w:rsidR="00FD6413" w:rsidRDefault="00FD6413" w:rsidP="00FD6413">
      <w:pPr>
        <w:pStyle w:val="a3"/>
        <w:shd w:val="clear" w:color="auto" w:fill="FFFFFF"/>
        <w:spacing w:before="150" w:beforeAutospacing="0" w:after="0" w:afterAutospacing="0" w:line="300" w:lineRule="atLeast"/>
        <w:ind w:firstLine="420"/>
        <w:rPr>
          <w:rFonts w:hint="eastAsia"/>
          <w:color w:val="2B2B2B"/>
        </w:rPr>
      </w:pPr>
      <w:r>
        <w:rPr>
          <w:rFonts w:hint="eastAsia"/>
          <w:color w:val="2B2B2B"/>
        </w:rPr>
        <w:t>9.考生必须遵守面试纪律。对于违纪违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理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6413"/>
    <w:rsid w:val="007A0D36"/>
    <w:rsid w:val="007C7F1D"/>
    <w:rsid w:val="00D9369B"/>
    <w:rsid w:val="00FD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41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2019-06-21T00:45:00Z</dcterms:created>
  <dcterms:modified xsi:type="dcterms:W3CDTF">2019-06-21T00:45:00Z</dcterms:modified>
</cp:coreProperties>
</file>