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8" w:lineRule="atLeast"/>
        <w:ind w:left="0" w:right="0" w:firstLine="0"/>
        <w:jc w:val="both"/>
        <w:rPr>
          <w:rFonts w:ascii="仿宋" w:hAnsi="仿宋" w:eastAsia="仿宋" w:cs="仿宋"/>
          <w:i w:val="0"/>
          <w:caps w:val="0"/>
          <w:color w:val="333333"/>
          <w:spacing w:val="0"/>
          <w:sz w:val="22"/>
          <w:szCs w:val="22"/>
        </w:rPr>
      </w:pPr>
      <w:r>
        <w:rPr>
          <w:rFonts w:hint="eastAsia" w:ascii="仿宋" w:hAnsi="仿宋" w:eastAsia="仿宋" w:cs="仿宋"/>
          <w:i w:val="0"/>
          <w:caps w:val="0"/>
          <w:color w:val="333333"/>
          <w:spacing w:val="0"/>
          <w:sz w:val="22"/>
          <w:szCs w:val="2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8" w:lineRule="atLeast"/>
        <w:ind w:left="0" w:right="0" w:firstLine="0"/>
        <w:jc w:val="both"/>
        <w:rPr>
          <w:rFonts w:hint="eastAsia" w:ascii="仿宋" w:hAnsi="仿宋" w:eastAsia="仿宋" w:cs="仿宋"/>
          <w:i w:val="0"/>
          <w:caps w:val="0"/>
          <w:color w:val="333333"/>
          <w:spacing w:val="0"/>
          <w:sz w:val="22"/>
          <w:szCs w:val="22"/>
        </w:rPr>
      </w:pPr>
      <w:r>
        <w:rPr>
          <w:rFonts w:hint="eastAsia" w:ascii="仿宋" w:hAnsi="仿宋" w:eastAsia="仿宋" w:cs="仿宋"/>
          <w:i w:val="0"/>
          <w:caps w:val="0"/>
          <w:color w:val="333333"/>
          <w:spacing w:val="0"/>
          <w:sz w:val="22"/>
          <w:szCs w:val="22"/>
          <w:bdr w:val="none" w:color="auto" w:sz="0" w:space="0"/>
          <w:shd w:val="clear" w:fill="FFFFFF"/>
        </w:rPr>
        <w:t>　　2019年泰宁县卫生健康系统事业单位公开招聘紧缺急需专业工作人员岗位信息表</w:t>
      </w:r>
    </w:p>
    <w:tbl>
      <w:tblPr>
        <w:tblW w:w="1397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2"/>
        <w:gridCol w:w="286"/>
        <w:gridCol w:w="1324"/>
        <w:gridCol w:w="632"/>
        <w:gridCol w:w="1324"/>
        <w:gridCol w:w="632"/>
        <w:gridCol w:w="978"/>
        <w:gridCol w:w="1173"/>
        <w:gridCol w:w="650"/>
        <w:gridCol w:w="568"/>
        <w:gridCol w:w="632"/>
        <w:gridCol w:w="1324"/>
        <w:gridCol w:w="632"/>
        <w:gridCol w:w="1324"/>
        <w:gridCol w:w="286"/>
        <w:gridCol w:w="157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主管 部门</w:t>
            </w:r>
          </w:p>
        </w:tc>
        <w:tc>
          <w:tcPr>
            <w:tcW w:w="286"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招聘单位</w:t>
            </w:r>
          </w:p>
        </w:tc>
        <w:tc>
          <w:tcPr>
            <w:tcW w:w="132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经 费 方 式</w:t>
            </w:r>
          </w:p>
        </w:tc>
        <w:tc>
          <w:tcPr>
            <w:tcW w:w="63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招聘 岗位</w:t>
            </w:r>
          </w:p>
        </w:tc>
        <w:tc>
          <w:tcPr>
            <w:tcW w:w="132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招 聘 人 数</w:t>
            </w:r>
          </w:p>
        </w:tc>
        <w:tc>
          <w:tcPr>
            <w:tcW w:w="63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免笔试 类型</w:t>
            </w:r>
          </w:p>
        </w:tc>
        <w:tc>
          <w:tcPr>
            <w:tcW w:w="7567" w:type="dxa"/>
            <w:gridSpan w:val="9"/>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岗位资格条件</w:t>
            </w:r>
          </w:p>
        </w:tc>
        <w:tc>
          <w:tcPr>
            <w:tcW w:w="1577" w:type="dxa"/>
            <w:vMerge w:val="restart"/>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28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978"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最 高 年龄</w:t>
            </w:r>
          </w:p>
        </w:tc>
        <w:tc>
          <w:tcPr>
            <w:tcW w:w="1173" w:type="dxa"/>
            <w:vMerge w:val="restart"/>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w:t>
            </w:r>
          </w:p>
        </w:tc>
        <w:tc>
          <w:tcPr>
            <w:tcW w:w="1218"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学历及类别</w:t>
            </w:r>
          </w:p>
        </w:tc>
        <w:tc>
          <w:tcPr>
            <w:tcW w:w="63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 位</w:t>
            </w:r>
          </w:p>
        </w:tc>
        <w:tc>
          <w:tcPr>
            <w:tcW w:w="132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政 治 面 貌</w:t>
            </w:r>
          </w:p>
        </w:tc>
        <w:tc>
          <w:tcPr>
            <w:tcW w:w="63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性 别</w:t>
            </w:r>
          </w:p>
        </w:tc>
        <w:tc>
          <w:tcPr>
            <w:tcW w:w="132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招 聘 对 象</w:t>
            </w:r>
          </w:p>
        </w:tc>
        <w:tc>
          <w:tcPr>
            <w:tcW w:w="286"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其他条件</w:t>
            </w:r>
          </w:p>
        </w:tc>
        <w:tc>
          <w:tcPr>
            <w:tcW w:w="1577" w:type="dxa"/>
            <w:vMerge w:val="continue"/>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rPr>
                <w:rFonts w:hint="eastAsia" w:ascii="仿宋" w:hAnsi="仿宋" w:eastAsia="仿宋" w:cs="仿宋"/>
                <w:i w:val="0"/>
                <w:caps w:val="0"/>
                <w:color w:val="333333"/>
                <w:spacing w:val="0"/>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28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97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173" w:type="dxa"/>
            <w:vMerge w:val="continue"/>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rPr>
                <w:rFonts w:hint="eastAsia" w:ascii="仿宋" w:hAnsi="仿宋" w:eastAsia="仿宋" w:cs="仿宋"/>
                <w:i w:val="0"/>
                <w:caps w:val="0"/>
                <w:color w:val="333333"/>
                <w:spacing w:val="0"/>
                <w:sz w:val="28"/>
                <w:szCs w:val="28"/>
              </w:rPr>
            </w:pP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全日制 普通教 育学历</w:t>
            </w:r>
          </w:p>
        </w:tc>
        <w:tc>
          <w:tcPr>
            <w:tcW w:w="568" w:type="dxa"/>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63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32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28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仿宋" w:hAnsi="仿宋" w:eastAsia="仿宋" w:cs="仿宋"/>
                <w:i w:val="0"/>
                <w:caps w:val="0"/>
                <w:color w:val="333333"/>
                <w:spacing w:val="0"/>
                <w:sz w:val="28"/>
                <w:szCs w:val="28"/>
              </w:rPr>
            </w:pPr>
          </w:p>
        </w:tc>
        <w:tc>
          <w:tcPr>
            <w:tcW w:w="1577" w:type="dxa"/>
            <w:vMerge w:val="continue"/>
            <w:tcBorders>
              <w:top w:val="outset" w:color="000000" w:sz="6" w:space="0"/>
              <w:left w:val="outset" w:color="000000" w:sz="6" w:space="0"/>
              <w:bottom w:val="outset" w:color="000000" w:sz="6" w:space="0"/>
              <w:right w:val="outset" w:color="000000" w:sz="6" w:space="0"/>
            </w:tcBorders>
            <w:shd w:val="clear" w:color="auto" w:fill="FFFFFF"/>
            <w:noWrap/>
            <w:tcMar>
              <w:top w:w="0" w:type="dxa"/>
            </w:tcMar>
            <w:vAlign w:val="center"/>
          </w:tcPr>
          <w:p>
            <w:pPr>
              <w:rPr>
                <w:rFonts w:hint="eastAsia" w:ascii="仿宋" w:hAnsi="仿宋" w:eastAsia="仿宋" w:cs="仿宋"/>
                <w:i w:val="0"/>
                <w:caps w:val="0"/>
                <w:color w:val="333333"/>
                <w:spacing w:val="0"/>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泰宁县总医院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2</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临床医学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泰宁县总医院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麻醉学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泰宁县总医院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医学影像学 （五年制）</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泰宁县总医院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眼科学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泰宁县总医院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口腔医学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泰宁县中医院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中西医临床医学 中西医结合临床</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泰宁县中医院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中医学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泰宁县中医院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医学影像学 （五年制）</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泰宁县卫生健康局</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泰宁县中医院</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财政核补</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专业技术</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1</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紧缺急需专业免笔试</w:t>
            </w:r>
          </w:p>
        </w:tc>
        <w:tc>
          <w:tcPr>
            <w:tcW w:w="97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30周岁</w:t>
            </w:r>
          </w:p>
        </w:tc>
        <w:tc>
          <w:tcPr>
            <w:tcW w:w="1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针灸推（学） 中医康复学 中西医结合康复学</w:t>
            </w:r>
          </w:p>
        </w:tc>
        <w:tc>
          <w:tcPr>
            <w:tcW w:w="6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本科及以上</w:t>
            </w:r>
          </w:p>
        </w:tc>
        <w:tc>
          <w:tcPr>
            <w:tcW w:w="5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学士及以上</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63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不限</w:t>
            </w:r>
          </w:p>
        </w:tc>
        <w:tc>
          <w:tcPr>
            <w:tcW w:w="132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应往届毕业生</w:t>
            </w:r>
          </w:p>
        </w:tc>
        <w:tc>
          <w:tcPr>
            <w:tcW w:w="28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60" w:beforeAutospacing="0" w:after="60" w:afterAutospacing="0" w:line="18" w:lineRule="atLeast"/>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bdr w:val="none" w:color="auto" w:sz="0" w:space="0"/>
                <w:lang w:val="en-US" w:eastAsia="zh-CN" w:bidi="ar"/>
              </w:rPr>
              <w:t> </w:t>
            </w:r>
          </w:p>
        </w:tc>
        <w:tc>
          <w:tcPr>
            <w:tcW w:w="157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rPr>
              <w:t>在泰宁县最低服务年限为五年（不含住院医师规培期限）</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81318"/>
    <w:rsid w:val="39C8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2019-06-17T02:58:00Z</dcterms:created>
  <dc:creator>张翠</dc:creator>
  <cp:lastModifiedBy>张翠</cp:lastModifiedBy>
  <dcterms:modified xsi:type="dcterms:W3CDTF">2019-06-17T02:59:06Z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