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sz w:val="32"/>
          <w:szCs w:val="32"/>
        </w:rPr>
        <w:t>附件5：</w:t>
      </w:r>
      <w:r>
        <w:rPr>
          <w:rFonts w:hint="eastAsia" w:ascii="Times New Roman" w:hAnsi="Times New Roman" w:eastAsia="楷体_GB2312" w:cs="Times New Roman"/>
          <w:kern w:val="0"/>
          <w:sz w:val="36"/>
          <w:szCs w:val="36"/>
        </w:rPr>
        <w:t xml:space="preserve">      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体能测评项目和标准</w:t>
      </w:r>
    </w:p>
    <w:p>
      <w:pPr>
        <w:widowControl/>
        <w:spacing w:line="40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color w:val="3F3F3F"/>
          <w:kern w:val="0"/>
          <w:sz w:val="32"/>
          <w:szCs w:val="32"/>
        </w:rPr>
        <w:t>男子组</w:t>
      </w:r>
    </w:p>
    <w:tbl>
      <w:tblPr>
        <w:tblStyle w:val="2"/>
        <w:tblW w:w="90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3"/>
        <w:gridCol w:w="3004"/>
        <w:gridCol w:w="30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60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60" w:lineRule="atLeast"/>
        <w:jc w:val="center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ascii="楷体" w:hAnsi="楷体" w:eastAsia="楷体" w:cs="Times New Roman"/>
          <w:color w:val="3F3F3F"/>
          <w:kern w:val="0"/>
          <w:sz w:val="32"/>
          <w:szCs w:val="32"/>
        </w:rPr>
        <w:t>（二）女子组</w:t>
      </w:r>
    </w:p>
    <w:tbl>
      <w:tblPr>
        <w:tblStyle w:val="2"/>
        <w:tblW w:w="907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134"/>
        <w:gridCol w:w="30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项 目</w:t>
            </w:r>
          </w:p>
        </w:tc>
        <w:tc>
          <w:tcPr>
            <w:tcW w:w="6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标 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2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10米X4往返跑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≤14″1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≤4′20″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F3F3F"/>
                <w:kern w:val="0"/>
                <w:sz w:val="28"/>
                <w:szCs w:val="28"/>
              </w:rPr>
              <w:t>≥230厘米</w:t>
            </w:r>
          </w:p>
        </w:tc>
      </w:tr>
    </w:tbl>
    <w:p>
      <w:pPr>
        <w:spacing w:line="500" w:lineRule="exact"/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一、10米×4往返跑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 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 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　　注意事项：当受测者取放木块时，脚不要越过S1和S2线。 </w:t>
      </w:r>
    </w:p>
    <w:tbl>
      <w:tblPr>
        <w:tblStyle w:val="2"/>
        <w:tblW w:w="58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826"/>
        <w:gridCol w:w="9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S2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← 10米 →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30厘米</w:t>
            </w:r>
          </w:p>
        </w:tc>
      </w:tr>
    </w:tbl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图1</w:t>
      </w:r>
    </w:p>
    <w:p>
      <w:pPr>
        <w:spacing w:line="52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二、男子1000米跑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场地器材：400米田径跑道。地面平坦，地质不限。秒表若干块，使用前应进行校正。 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　　测试方法：受测者分组测，每组不得少于2人，用站立式起跑。当听到口令或哨音后开始起跑。当受测者到达终点时停表，终点记录员负责登记每人成绩，登记成绩以分、秒为单位，不计小数。 </w:t>
      </w:r>
    </w:p>
    <w:p>
      <w:pPr>
        <w:spacing w:line="52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三、纵跳摸高 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　　场地要求：通常在室内场地测试。如选择室外场地测试，需在天气状况许可的情况下进行，当天平均气温应在15-35摄氏度之间，无太阳直射、风力不超过3级。 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 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%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F554B"/>
    <w:rsid w:val="27B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%w Roman" w:hAnsi="Times N%w Roman" w:eastAsia="宋体" w:cs="Times N%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2019-06-05T01:07:00Z</dcterms:created>
  <dc:creator>JAM</dc:creator>
  <cp:lastModifiedBy>JAM</cp:lastModifiedBy>
  <dcterms:modified xsi:type="dcterms:W3CDTF">2019-06-05T01:07:26Z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