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附件1：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方正小标宋_GBK" w:cs="Times New Roman"/>
          <w:sz w:val="36"/>
          <w:szCs w:val="36"/>
        </w:rPr>
        <w:t>公开招聘青岛市公安局警务辅助人员职位表</w:t>
      </w:r>
    </w:p>
    <w:tbl>
      <w:tblPr>
        <w:tblStyle w:val="4"/>
        <w:tblpPr w:leftFromText="180" w:rightFromText="180" w:vertAnchor="page" w:horzAnchor="margin" w:tblpY="2727"/>
        <w:tblW w:w="13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559"/>
        <w:gridCol w:w="1701"/>
        <w:gridCol w:w="5387"/>
        <w:gridCol w:w="203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职位   名称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计划    </w:t>
            </w:r>
          </w:p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8"/>
                <w:sz w:val="18"/>
                <w:szCs w:val="18"/>
              </w:rPr>
              <w:t>（219名）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用人单位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工作描述</w:t>
            </w:r>
          </w:p>
        </w:tc>
        <w:tc>
          <w:tcPr>
            <w:tcW w:w="7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应聘资格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辅警    职位一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3名  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青岛市公安局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协助公安民警从事110报警服务台接警工作</w:t>
            </w:r>
            <w:r>
              <w:rPr>
                <w:rFonts w:hint="eastAsia" w:ascii="仿宋" w:hAnsi="仿宋" w:eastAsia="仿宋" w:cs="Times New Roman"/>
                <w:szCs w:val="21"/>
              </w:rPr>
              <w:t>。</w:t>
            </w:r>
          </w:p>
        </w:tc>
        <w:tc>
          <w:tcPr>
            <w:tcW w:w="5387" w:type="dxa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岁以上，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岁以下（19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日期间出生），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性别不限，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青岛市户籍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。大学专科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及以上学历。头脑灵活，普通话流利，熟练使用微机及文字处理软件，能够较好的控制自身情绪，具有较强的语言交流和文字组织整理能力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符合招聘资格条件的公安烈士和因公牺牲公安民警</w:t>
            </w:r>
            <w:r>
              <w:rPr>
                <w:rFonts w:hint="eastAsia" w:ascii="仿宋" w:hAnsi="仿宋" w:eastAsia="仿宋" w:cs="Times New Roman"/>
                <w:szCs w:val="21"/>
              </w:rPr>
              <w:t>、辅警的配偶子女</w:t>
            </w:r>
            <w:r>
              <w:rPr>
                <w:rFonts w:ascii="仿宋" w:hAnsi="仿宋" w:eastAsia="仿宋" w:cs="Times New Roman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Cs w:val="21"/>
              </w:rPr>
              <w:t>在职公安民警配偶、</w:t>
            </w:r>
            <w:r>
              <w:rPr>
                <w:rFonts w:ascii="仿宋" w:hAnsi="仿宋" w:eastAsia="仿宋" w:cs="Times New Roman"/>
                <w:szCs w:val="21"/>
              </w:rPr>
              <w:t>退役</w:t>
            </w:r>
            <w:r>
              <w:rPr>
                <w:rFonts w:hint="eastAsia" w:ascii="仿宋" w:hAnsi="仿宋" w:eastAsia="仿宋" w:cs="Times New Roman"/>
                <w:szCs w:val="21"/>
              </w:rPr>
              <w:t>军人、</w:t>
            </w:r>
            <w:r>
              <w:rPr>
                <w:rFonts w:ascii="仿宋" w:hAnsi="仿宋" w:eastAsia="仿宋" w:cs="Times New Roman"/>
                <w:szCs w:val="21"/>
              </w:rPr>
              <w:t>见义勇为积极分子和先进个人</w:t>
            </w:r>
            <w:r>
              <w:rPr>
                <w:rFonts w:hint="eastAsia" w:ascii="仿宋" w:hAnsi="仿宋" w:eastAsia="仿宋" w:cs="Times New Roman"/>
                <w:szCs w:val="21"/>
              </w:rPr>
              <w:t>、</w:t>
            </w:r>
            <w:r>
              <w:rPr>
                <w:rFonts w:ascii="仿宋" w:hAnsi="仿宋" w:eastAsia="仿宋" w:cs="Times New Roman"/>
                <w:szCs w:val="21"/>
              </w:rPr>
              <w:t>警察类</w:t>
            </w:r>
            <w:r>
              <w:rPr>
                <w:rFonts w:hint="eastAsia" w:ascii="仿宋" w:hAnsi="仿宋" w:eastAsia="仿宋" w:cs="Times New Roman"/>
                <w:szCs w:val="21"/>
              </w:rPr>
              <w:t>或</w:t>
            </w:r>
            <w:r>
              <w:rPr>
                <w:rFonts w:ascii="仿宋" w:hAnsi="仿宋" w:eastAsia="仿宋" w:cs="Times New Roman"/>
                <w:szCs w:val="21"/>
              </w:rPr>
              <w:t>政法类院校</w:t>
            </w:r>
            <w:r>
              <w:rPr>
                <w:rFonts w:hint="eastAsia" w:ascii="仿宋" w:hAnsi="仿宋" w:eastAsia="仿宋" w:cs="Times New Roman"/>
                <w:szCs w:val="21"/>
              </w:rPr>
              <w:t>毕业生、国有企业下岗分流人员、</w:t>
            </w:r>
            <w:r>
              <w:rPr>
                <w:rFonts w:ascii="仿宋" w:hAnsi="仿宋" w:eastAsia="仿宋" w:cs="Times New Roman"/>
                <w:szCs w:val="21"/>
              </w:rPr>
              <w:t>大学本科以上学历</w:t>
            </w:r>
            <w:r>
              <w:rPr>
                <w:rFonts w:hint="eastAsia" w:ascii="仿宋" w:hAnsi="仿宋" w:eastAsia="仿宋" w:cs="Times New Roman"/>
                <w:szCs w:val="21"/>
              </w:rPr>
              <w:t>，</w:t>
            </w:r>
            <w:r>
              <w:rPr>
                <w:rFonts w:ascii="仿宋" w:hAnsi="仿宋" w:eastAsia="仿宋" w:cs="Times New Roman"/>
                <w:szCs w:val="21"/>
              </w:rPr>
              <w:t>以及具有岗位所需专业资质或专业技能的优先聘用</w:t>
            </w:r>
            <w:r>
              <w:rPr>
                <w:rFonts w:hint="eastAsia" w:ascii="仿宋" w:hAnsi="仿宋" w:eastAsia="仿宋" w:cs="Times New Roman"/>
                <w:szCs w:val="21"/>
              </w:rPr>
              <w:t>。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其他应聘资格条件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以及不得应聘情形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详见招聘公告。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按照不少于招聘职位计划20%的比例，招聘退役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军人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，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招聘计划未满的调剂使用。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职位二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青岛市公安局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（3名）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60" w:lineRule="exact"/>
              <w:rPr>
                <w:rFonts w:ascii="仿宋" w:hAnsi="仿宋" w:eastAsia="仿宋" w:cs="Times New Roman"/>
                <w:kern w:val="0"/>
                <w:szCs w:val="21"/>
                <w:lang w:val="zh-CN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  <w:lang w:val="zh-CN"/>
              </w:rPr>
              <w:t>协助民警</w:t>
            </w:r>
            <w:r>
              <w:rPr>
                <w:rFonts w:ascii="仿宋" w:hAnsi="仿宋" w:eastAsia="仿宋" w:cs="Times New Roman"/>
                <w:szCs w:val="21"/>
              </w:rPr>
              <w:t>从事应急通信保障、计算机管理运维、视频监控管理运维等工作。</w:t>
            </w:r>
          </w:p>
        </w:tc>
        <w:tc>
          <w:tcPr>
            <w:tcW w:w="5387" w:type="dxa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岁以上，30岁以下（198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日期间出生），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男，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青岛市户籍。大学专科及以上学历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通信工程、计算机科学与管理专业、计算机网络等专业毕业，以及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持有高低压电工操作证、维修电工证三级及以上等专业资质或专业技能的人员优先聘用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1名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kern w:val="0"/>
                <w:szCs w:val="21"/>
                <w:lang w:val="zh-CN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岁以上，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岁以下（19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日期间出生），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女，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青岛市户籍。大学专科及以上学历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辅警   职位四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6名 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青岛市公安局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协助民警从事互联网巡查等工作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87" w:type="dxa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18岁以上，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岁以下（19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日至200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日期间出生）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，男，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大学专科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及以上学历。熟练使用微机及文字处理软件，具有较强的语言交流和文字组织整理能力。流利使用英语、日语、韩语会话者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、有计算机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编程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优先。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职位五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2名 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青岛市公安局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  <w:lang w:val="zh-CN"/>
              </w:rPr>
              <w:t>协助民警</w:t>
            </w:r>
            <w:r>
              <w:rPr>
                <w:rFonts w:ascii="仿宋" w:hAnsi="仿宋" w:eastAsia="仿宋" w:cs="Times New Roman"/>
                <w:szCs w:val="21"/>
              </w:rPr>
              <w:t>从事禁毒管理辅助性工作</w:t>
            </w:r>
          </w:p>
        </w:tc>
        <w:tc>
          <w:tcPr>
            <w:tcW w:w="5387" w:type="dxa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18岁以上，3</w:t>
            </w: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  <w:r>
              <w:rPr>
                <w:rFonts w:ascii="仿宋" w:hAnsi="仿宋" w:eastAsia="仿宋" w:cs="Times New Roman"/>
                <w:szCs w:val="21"/>
              </w:rPr>
              <w:t>岁以下（198</w:t>
            </w:r>
            <w:r>
              <w:rPr>
                <w:rFonts w:hint="eastAsia" w:ascii="仿宋" w:hAnsi="仿宋" w:eastAsia="仿宋" w:cs="Times New Roman"/>
                <w:szCs w:val="21"/>
              </w:rPr>
              <w:t>6</w:t>
            </w:r>
            <w:r>
              <w:rPr>
                <w:rFonts w:ascii="仿宋" w:hAnsi="仿宋" w:eastAsia="仿宋" w:cs="Times New Roman"/>
                <w:szCs w:val="21"/>
              </w:rPr>
              <w:t>年</w:t>
            </w: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  <w:r>
              <w:rPr>
                <w:rFonts w:ascii="仿宋" w:hAnsi="仿宋" w:eastAsia="仿宋" w:cs="Times New Roman"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szCs w:val="21"/>
              </w:rPr>
              <w:t>30</w:t>
            </w:r>
            <w:r>
              <w:rPr>
                <w:rFonts w:ascii="仿宋" w:hAnsi="仿宋" w:eastAsia="仿宋" w:cs="Times New Roman"/>
                <w:szCs w:val="21"/>
              </w:rPr>
              <w:t>日至2000年</w:t>
            </w:r>
            <w:r>
              <w:rPr>
                <w:rFonts w:hint="eastAsia" w:ascii="仿宋" w:hAnsi="仿宋" w:eastAsia="仿宋" w:cs="Times New Roman"/>
                <w:szCs w:val="21"/>
              </w:rPr>
              <w:t>5</w:t>
            </w:r>
            <w:r>
              <w:rPr>
                <w:rFonts w:ascii="仿宋" w:hAnsi="仿宋" w:eastAsia="仿宋" w:cs="Times New Roman"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1</w:t>
            </w:r>
            <w:r>
              <w:rPr>
                <w:rFonts w:ascii="仿宋" w:hAnsi="仿宋" w:eastAsia="仿宋" w:cs="Times New Roman"/>
                <w:szCs w:val="21"/>
              </w:rPr>
              <w:t>日期间出生），</w:t>
            </w:r>
            <w:r>
              <w:rPr>
                <w:rFonts w:hint="eastAsia" w:ascii="仿宋" w:hAnsi="仿宋" w:eastAsia="仿宋" w:cs="Times New Roman"/>
                <w:szCs w:val="21"/>
              </w:rPr>
              <w:t>男，</w:t>
            </w:r>
            <w:r>
              <w:rPr>
                <w:rFonts w:ascii="仿宋" w:hAnsi="仿宋" w:eastAsia="仿宋" w:cs="Times New Roman"/>
                <w:szCs w:val="21"/>
              </w:rPr>
              <w:t>青岛市户籍。大学专科及以上学历，应用化学、计算机类专业优先。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具有韩语专业特长可放宽学历要求。 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Cs w:val="21"/>
                <w:highlight w:val="cyan"/>
              </w:rPr>
            </w:pPr>
          </w:p>
        </w:tc>
        <w:tc>
          <w:tcPr>
            <w:tcW w:w="993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31" w:right="1701" w:bottom="1531" w:left="1247" w:header="851" w:footer="992" w:gutter="0"/>
          <w:cols w:space="720" w:num="1"/>
          <w:docGrid w:linePitch="312" w:charSpace="0"/>
        </w:sectPr>
      </w:pPr>
    </w:p>
    <w:tbl>
      <w:tblPr>
        <w:tblStyle w:val="4"/>
        <w:tblpPr w:leftFromText="180" w:rightFromText="180" w:vertAnchor="page" w:horzAnchor="margin" w:tblpY="1801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2126"/>
        <w:gridCol w:w="1134"/>
        <w:gridCol w:w="2977"/>
        <w:gridCol w:w="255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职位   名称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计划    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用人单位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工作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应聘资格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辅警    职位六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9名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szCs w:val="21"/>
              </w:rPr>
              <w:t>青岛市公安局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交警支队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（174名）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根据招聘情况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  <w:highlight w:val="lightGray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由支队统一调配使用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ascii="仿宋" w:hAnsi="仿宋" w:eastAsia="仿宋" w:cs="Times New Roman"/>
                <w:color w:val="000000"/>
                <w:szCs w:val="21"/>
                <w:highlight w:val="lightGray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协助交通民警依法开展执勤和其他警务活动；从事行政管理、技术支持、警务保障等辅助性工作。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  <w:highlight w:val="lightGray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青岛市户籍。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18岁以上，28岁以下（1990年4月30日至2001年5月1日期间出生），男；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大学专科及以上学历，退役军人可放宽至高中学历；                                      身高1.70米以上，单侧裸眼视力不低于4.6；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Cs w:val="21"/>
                <w:highlight w:val="lightGray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适应公安辅警工作需要，服从派遣单位安排管理。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符合招聘资格条件的公安烈士和因公牺牲公安民警</w:t>
            </w:r>
            <w:r>
              <w:rPr>
                <w:rFonts w:hint="eastAsia" w:ascii="仿宋" w:hAnsi="仿宋" w:eastAsia="仿宋" w:cs="Times New Roman"/>
                <w:szCs w:val="21"/>
              </w:rPr>
              <w:t>、辅警的配偶子女</w:t>
            </w:r>
            <w:r>
              <w:rPr>
                <w:rFonts w:ascii="仿宋" w:hAnsi="仿宋" w:eastAsia="仿宋" w:cs="Times New Roman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Cs w:val="21"/>
              </w:rPr>
              <w:t>在职公安民警配偶、</w:t>
            </w:r>
            <w:r>
              <w:rPr>
                <w:rFonts w:ascii="仿宋" w:hAnsi="仿宋" w:eastAsia="仿宋" w:cs="Times New Roman"/>
                <w:szCs w:val="21"/>
              </w:rPr>
              <w:t>退役</w:t>
            </w:r>
            <w:r>
              <w:rPr>
                <w:rFonts w:hint="eastAsia" w:ascii="仿宋" w:hAnsi="仿宋" w:eastAsia="仿宋" w:cs="Times New Roman"/>
                <w:szCs w:val="21"/>
              </w:rPr>
              <w:t>军人、</w:t>
            </w:r>
            <w:r>
              <w:rPr>
                <w:rFonts w:ascii="仿宋" w:hAnsi="仿宋" w:eastAsia="仿宋" w:cs="Times New Roman"/>
                <w:szCs w:val="21"/>
              </w:rPr>
              <w:t>见义勇为积极分子和先进个人</w:t>
            </w:r>
            <w:r>
              <w:rPr>
                <w:rFonts w:hint="eastAsia" w:ascii="仿宋" w:hAnsi="仿宋" w:eastAsia="仿宋" w:cs="Times New Roman"/>
                <w:szCs w:val="21"/>
              </w:rPr>
              <w:t>、</w:t>
            </w:r>
            <w:r>
              <w:rPr>
                <w:rFonts w:ascii="仿宋" w:hAnsi="仿宋" w:eastAsia="仿宋" w:cs="Times New Roman"/>
                <w:szCs w:val="21"/>
              </w:rPr>
              <w:t>警察类</w:t>
            </w:r>
            <w:r>
              <w:rPr>
                <w:rFonts w:hint="eastAsia" w:ascii="仿宋" w:hAnsi="仿宋" w:eastAsia="仿宋" w:cs="Times New Roman"/>
                <w:szCs w:val="21"/>
              </w:rPr>
              <w:t>或</w:t>
            </w:r>
            <w:r>
              <w:rPr>
                <w:rFonts w:ascii="仿宋" w:hAnsi="仿宋" w:eastAsia="仿宋" w:cs="Times New Roman"/>
                <w:szCs w:val="21"/>
              </w:rPr>
              <w:t>政法类院校</w:t>
            </w:r>
            <w:r>
              <w:rPr>
                <w:rFonts w:hint="eastAsia" w:ascii="仿宋" w:hAnsi="仿宋" w:eastAsia="仿宋" w:cs="Times New Roman"/>
                <w:szCs w:val="21"/>
              </w:rPr>
              <w:t>毕业生、国有企业下岗分流人员、</w:t>
            </w:r>
            <w:r>
              <w:rPr>
                <w:rFonts w:ascii="仿宋" w:hAnsi="仿宋" w:eastAsia="仿宋" w:cs="Times New Roman"/>
                <w:szCs w:val="21"/>
              </w:rPr>
              <w:t>大学本科以上学历</w:t>
            </w:r>
            <w:r>
              <w:rPr>
                <w:rFonts w:hint="eastAsia" w:ascii="仿宋" w:hAnsi="仿宋" w:eastAsia="仿宋" w:cs="Times New Roman"/>
                <w:szCs w:val="21"/>
              </w:rPr>
              <w:t>，</w:t>
            </w:r>
            <w:r>
              <w:rPr>
                <w:rFonts w:ascii="仿宋" w:hAnsi="仿宋" w:eastAsia="仿宋" w:cs="Times New Roman"/>
                <w:szCs w:val="21"/>
              </w:rPr>
              <w:t>以及具有岗位所需专业资质或专业技能的优先聘用</w:t>
            </w:r>
            <w:r>
              <w:rPr>
                <w:rFonts w:hint="eastAsia" w:ascii="仿宋" w:hAnsi="仿宋" w:eastAsia="仿宋" w:cs="Times New Roman"/>
                <w:szCs w:val="21"/>
              </w:rPr>
              <w:t>。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其他应聘资格条件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以及不得应聘情形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详见招聘公告。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8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按照不少于招聘职位计划20%的比例，招聘退役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军人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，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招聘计划未满的调剂使用。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 职位七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18名  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 职位八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8名 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职位九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18名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18名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职位十一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18名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职位十二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22名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23名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职位十四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职位十五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20名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职位十六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8名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交警支队              胶州湾高速公路大队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pacing w:val="-2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具有李沧区、城阳区、开发区（原黄岛区）、胶州市户籍。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职位十七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6名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交警支队               潍莱高速公路大队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pacing w:val="-2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具有平度市户籍。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职位十八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11名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交警支队              同三高速公路大队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pacing w:val="-22"/>
                <w:szCs w:val="21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具有黄岛区（原胶南市）、胶州市户籍。 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辅警    职位十九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6名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交警支队                青平高速公路大队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pacing w:val="-2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具有城阳区、即墨区和莱西市户籍。 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hAnsi="Times New Roman" w:eastAsia="仿宋_GB2312" w:cs="Times New Roman"/>
          <w:spacing w:val="-18"/>
          <w:kern w:val="0"/>
          <w:sz w:val="30"/>
          <w:szCs w:val="30"/>
        </w:rPr>
        <w:sectPr>
          <w:pgSz w:w="16838" w:h="11906" w:orient="landscape"/>
          <w:pgMar w:top="0" w:right="1701" w:bottom="0" w:left="1247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2640"/>
    <w:rsid w:val="320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%w Roman" w:hAnsi="Times N%w Roman" w:eastAsia="宋体" w:cs="Times N%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2019-06-05T01:05:00Z</dcterms:created>
  <dc:creator>JAM</dc:creator>
  <cp:lastModifiedBy>JAM</cp:lastModifiedBy>
  <dcterms:modified xsi:type="dcterms:W3CDTF">2019-06-05T01:06:01Z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