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15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15"/>
          <w:sz w:val="24"/>
          <w:szCs w:val="24"/>
          <w:u w:val="none"/>
          <w:bdr w:val="none" w:color="auto" w:sz="0" w:space="0"/>
          <w:shd w:val="clear" w:fill="FFFFFF"/>
        </w:rPr>
        <w:t>安徽省社会科学院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22222"/>
          <w:spacing w:val="15"/>
          <w:sz w:val="24"/>
          <w:szCs w:val="24"/>
          <w:u w:val="none"/>
          <w:bdr w:val="none" w:color="auto" w:sz="0" w:space="0"/>
          <w:shd w:val="clear" w:fill="FFFFFF"/>
        </w:rPr>
        <w:t>招聘岗位</w:t>
      </w:r>
    </w:p>
    <w:tbl>
      <w:tblPr>
        <w:tblW w:w="9180" w:type="dxa"/>
        <w:jc w:val="center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07"/>
        <w:gridCol w:w="1379"/>
        <w:gridCol w:w="592"/>
        <w:gridCol w:w="2302"/>
        <w:gridCol w:w="1295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37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招聘部门</w:t>
            </w:r>
          </w:p>
        </w:tc>
        <w:tc>
          <w:tcPr>
            <w:tcW w:w="5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5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招聘专业及所需资格条件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专 业</w:t>
            </w: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学历  (学位)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pacing w:val="15"/>
                <w:sz w:val="24"/>
                <w:szCs w:val="24"/>
                <w:u w:val="none"/>
                <w:bdr w:val="none" w:color="auto" w:sz="0" w:space="0"/>
              </w:rPr>
              <w:t>年 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专业技术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7000169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城乡经济研究所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农业经济管理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（博士）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7000170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经济研究所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区域经济学、产业经济学、数量经济学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马克思主义研究所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马克思主义理论、党的学说与党的建设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哲学与文化研究所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中国哲学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法学研究所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环境与资源保护法学、宪法学与行政法学、经济法学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社会学研究所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社会学、教育学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7000175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当代安徽研究所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历史学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u w:val="none"/>
                <w:bdr w:val="none" w:color="auto" w:sz="0" w:space="0"/>
              </w:rPr>
              <w:t>7000176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《江淮论坛》杂志社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管理学、政治学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15"/>
          <w:sz w:val="18"/>
          <w:szCs w:val="18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15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448E"/>
    <w:rsid w:val="7F7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2019-05-18T02:14:00Z</dcterms:created>
  <dc:creator>石果</dc:creator>
  <cp:lastModifiedBy>石果</cp:lastModifiedBy>
  <dcterms:modified xsi:type="dcterms:W3CDTF">2019-05-18T02:14:36Z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