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47" w:tblpY="72"/>
        <w:tblOverlap w:val="never"/>
        <w:tblW w:w="919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0"/>
        <w:gridCol w:w="905"/>
        <w:gridCol w:w="770"/>
        <w:gridCol w:w="770"/>
        <w:gridCol w:w="770"/>
        <w:gridCol w:w="770"/>
        <w:gridCol w:w="770"/>
        <w:gridCol w:w="770"/>
        <w:gridCol w:w="770"/>
        <w:gridCol w:w="9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  <w:t>附件</w:t>
            </w:r>
            <w:r>
              <w:rPr>
                <w:rFonts w:ascii="黑体" w:hAnsi="宋体" w:eastAsia="黑体" w:cs="黑体"/>
                <w:color w:val="000000"/>
                <w:sz w:val="32"/>
                <w:szCs w:val="32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91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>宁夏</w:t>
            </w:r>
            <w:r>
              <w:rPr>
                <w:rFonts w:ascii="黑体" w:hAnsi="黑体" w:eastAsia="黑体" w:cs="黑体"/>
                <w:sz w:val="36"/>
                <w:szCs w:val="36"/>
              </w:rPr>
              <w:t>2019</w:t>
            </w:r>
            <w:r>
              <w:rPr>
                <w:rFonts w:hint="eastAsia" w:ascii="黑体" w:hAnsi="黑体" w:eastAsia="黑体" w:cs="黑体"/>
                <w:sz w:val="36"/>
                <w:szCs w:val="36"/>
              </w:rPr>
              <w:t>年实施定向招聘往届全日制普通高校师范类专科及以上学历人员（小学教师）分市县区学科岗位计划表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市、县（区）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总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计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兴庆区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西夏区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利通区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同心县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红寺堡区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沙坡头区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中宁县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注</w:t>
            </w:r>
          </w:p>
        </w:tc>
        <w:tc>
          <w:tcPr>
            <w:tcW w:w="6387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年龄在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周岁以下（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1983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日以后出生），往届全日制普通高校师范类专科及以上学历毕业生，宁夏户籍，具有相应的教师资格证书。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638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28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638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128DC"/>
    <w:rsid w:val="2D71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2019-05-10T02:40:00Z</dcterms:created>
  <dc:creator>it's 刘</dc:creator>
  <cp:lastModifiedBy>it's 刘</cp:lastModifiedBy>
  <dcterms:modified xsi:type="dcterms:W3CDTF">2019-05-10T02:43:36Z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