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43"/>
          <w:szCs w:val="43"/>
          <w:bdr w:val="none" w:color="auto" w:sz="0" w:space="0"/>
          <w:shd w:val="clear" w:fill="FFFFFF"/>
        </w:rPr>
        <w:t>衢江区招聘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43"/>
          <w:szCs w:val="43"/>
          <w:bdr w:val="none" w:color="auto" w:sz="0" w:space="0"/>
          <w:shd w:val="clear" w:fill="FFFFFF"/>
        </w:rPr>
        <w:t>2019年教师专业要求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8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6168"/>
        <w:gridCol w:w="12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招聘学科</w:t>
            </w:r>
          </w:p>
        </w:tc>
        <w:tc>
          <w:tcPr>
            <w:tcW w:w="6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2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本科：小学教育（语文方向）、语文教育、中国语言文学类（汉语言文学、汉语学、汉语国际教育、古典文献学）。研究生：一级学科：中国语言文学。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1、研究生非教育学类专业只面向211、985、“双一流”高校毕业生。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2、研究生教育学类专业可以报考相对应的学科岗位。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2、其他要求见招聘对象及条件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本科：小学教育（数学方向）、数学教育、数学与应用数学、信息与计算科学、数理基础科学专业。研究生：一级学科：数学。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本科：小学教育（英语方向）、英语教育、商务英语。研究生：二级学科：英语语言文学。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本科：体育学类（体育教育、运动训练、社会体育指导与管理、武术与民族体育、运动康复、休闲体育）。研究生：一级学科：体育学。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初中社政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思想政治教育、政治学类（政治学与行政学、国际政治、外交学），历史教育、历史学类（世界史、考古学、文物与博物馆学、文物保护技术、外国语言与外国历史），地理教育、地理科学类（地理科学、自然地理与资源环境、人文地理与城乡规划、地理信息科学），人文教育。研究生：一级学科：历史学，地理学，政治学，马克思主义理论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科学教育、物理学类（物理学、应用物理学、核物理）、生物科学类（生物科学、生物技术、生物信息学、生态学）、化学类（化学、应用化学）、地理学类（地理科学、自然地理与资源环境）、地球物理学类（地球物理学）。研究生：一级学科：物理学、化学、生物学、地球物理学；二级学科：自然地理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本科：历史教育、历史学类（世界史、考古学、文物与博物馆学、文物保护技术、外国语言与外国历史）、人文教育。研究生：一级学科：历史学。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本科：地理教育、地理科学类（地理科学、自然地理与资源环境、人文地理与城乡规划、地理信息科学）。研究生：地理学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本科：生物科学类（生物科学、生物技术、生物信息学、生态学）。研究生：一级学科：生物学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中职电子商务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本科：电子商务类，计算机类。研究生：一级学科：计算机科学与技术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中职机械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本科：机械工程（机械设计制造及其自动化、材料成型及控制工程、机械电子工程、工业设计、过程装备与控制工程）。研究生：机械类（机械工艺技术、微机电系统工程、机电技术教育）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中职旅游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本科：旅游管理类。研究生：二级学科：旅游管理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中职中医康复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本科：针灸推拿学、康复治疗学。研究生：二级学科：针灸推拿学，康复医学与理疗学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小学信息技术/中职计算机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计算机类（教育技术学、计算机科学与技术、软件工程、网络工程、信息安全、物联网工程、数字媒体技术、智能科学与技术、空间信息与数字技术、电子与计算机工程）。研究生：一级学科：计算机科学与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技术，信息与通信工程。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本科：艺术教育（音乐方向）、音乐与舞蹈学类（音乐表演、音乐学、作曲与作曲技术理论、舞蹈表演、舞蹈学、舞蹈编导）。研究生：二级学科：艺术学、音乐学、舞蹈学。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幼儿教育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本科：学前教育。研究生：二级学科：学前教育学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本科：特殊教育。研究生：二级学科：特殊教育学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88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因各高校专业设置及专业课程设置存在差异，各岗位所列专业要求不尽完善。未列入本表的专业是否符合招聘要求，由衢江区人力资源和社会保障局、衢江区教育局研究决定。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319BD"/>
    <w:rsid w:val="2C9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2019-03-21T08:02:00Z</dcterms:created>
  <dc:creator>Administrator</dc:creator>
  <cp:lastModifiedBy>Administrator</cp:lastModifiedBy>
  <dcterms:modified xsi:type="dcterms:W3CDTF">2019-03-21T08:04:45Z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