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国家计算机网络应急技术处理协调中心甘肃分中心2019年度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公开招聘岗位信息表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笔试比例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面试比例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网络安全岗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负责网络安全研究、监测预警、数据分析、风险评估、安全检测等有关工作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仿宋_GB2312" w:hAnsi="Times New Roman" w:eastAsia="仿宋_GB2312"/>
                <w:color w:val="000000"/>
              </w:rPr>
              <w:t>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计算机类、电子信息类相关专业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全日制大学本科以上学历及学士以上学位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中共党员优先；具有网络与信息安全、机器学习、数据挖掘、大数据分析、车联网等相关知识背景者优先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不低于</w:t>
            </w:r>
            <w:r>
              <w:rPr>
                <w:rFonts w:hint="eastAsia" w:ascii="仿宋_GB2312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</w:rPr>
              <w:t>6:1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4:1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系统保障岗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负责信息系统和工程系统建设、保障与维护等有关工作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仿宋_GB2312" w:hAnsi="Times New Roman" w:eastAsia="仿宋_GB2312"/>
                <w:color w:val="000000"/>
              </w:rPr>
              <w:t>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</w:rPr>
              <w:t>计算机类、电子信息类相关专业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全日制大学本科以上学历及学士以上学位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中共党员优先；吃苦耐劳，能承担一线基层维护管理工作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不低于</w:t>
            </w:r>
            <w:r>
              <w:rPr>
                <w:rFonts w:hint="eastAsia" w:ascii="仿宋_GB2312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</w:rPr>
              <w:t>6:1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4:1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综合管理岗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负责综合管理有关工作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hint="eastAsia" w:ascii="仿宋_GB2312" w:hAnsi="Times New Roman" w:eastAsia="仿宋_GB2312"/>
                <w:color w:val="000000"/>
              </w:rPr>
              <w:t>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中国语言文学类、新闻传播学类、行政管理、法学类、思想政治教育相关专业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全日制大学本科以上学历及学士以上学位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中共党员；具有较强的文字综合能力和组织协调能力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</w:rPr>
              <w:t>不低于</w:t>
            </w:r>
            <w:r>
              <w:rPr>
                <w:rFonts w:hint="eastAsia" w:ascii="仿宋_GB2312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</w:rPr>
              <w:t>5:1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3:1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工作地点：甘南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方正小标宋简体" w:hAnsi="微软雅黑" w:eastAsia="方正小标宋简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06086"/>
    <w:rsid w:val="2AB8289A"/>
    <w:rsid w:val="2C0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2019-03-14T07:46:00Z</dcterms:created>
  <dc:creator>swy＆Feeling U</dc:creator>
  <cp:lastModifiedBy>swy＆Feeling U</cp:lastModifiedBy>
  <dcterms:modified xsi:type="dcterms:W3CDTF">2019-03-14T07:46:35Z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