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6"/>
        <w:gridCol w:w="664"/>
        <w:gridCol w:w="644"/>
        <w:gridCol w:w="627"/>
        <w:gridCol w:w="617"/>
        <w:gridCol w:w="556"/>
        <w:gridCol w:w="741"/>
        <w:gridCol w:w="997"/>
        <w:gridCol w:w="574"/>
        <w:gridCol w:w="521"/>
        <w:gridCol w:w="1032"/>
        <w:gridCol w:w="745"/>
        <w:gridCol w:w="1840"/>
        <w:gridCol w:w="205"/>
        <w:gridCol w:w="196"/>
        <w:gridCol w:w="475"/>
        <w:gridCol w:w="404"/>
        <w:gridCol w:w="582"/>
        <w:gridCol w:w="483"/>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709" w:type="dxa"/>
          <w:trHeight w:val="90" w:hRule="atLeast"/>
        </w:trPr>
        <w:tc>
          <w:tcPr>
            <w:tcW w:w="2928" w:type="dxa"/>
            <w:gridSpan w:val="5"/>
            <w:noWrap w:val="0"/>
            <w:vAlign w:val="center"/>
          </w:tcPr>
          <w:p>
            <w:pPr>
              <w:jc w:val="both"/>
              <w:rPr>
                <w:rFonts w:hint="default" w:ascii="仿宋_GB2312" w:hAnsi="宋体" w:eastAsia="仿宋_GB2312" w:cs="仿宋_GB2312"/>
                <w:i w:val="0"/>
                <w:color w:val="000000"/>
                <w:sz w:val="28"/>
                <w:szCs w:val="28"/>
                <w:u w:val="none"/>
              </w:rPr>
            </w:pPr>
            <w:r>
              <w:rPr>
                <w:rFonts w:hint="eastAsia" w:ascii="黑体" w:hAnsi="宋体" w:eastAsia="黑体" w:cs="黑体"/>
                <w:i w:val="0"/>
                <w:color w:val="000000"/>
                <w:kern w:val="0"/>
                <w:sz w:val="36"/>
                <w:szCs w:val="36"/>
                <w:u w:val="none"/>
                <w:lang w:val="en-US" w:eastAsia="zh-CN" w:bidi="ar"/>
              </w:rPr>
              <w:t>附件：</w:t>
            </w:r>
          </w:p>
        </w:tc>
        <w:tc>
          <w:tcPr>
            <w:tcW w:w="556" w:type="dxa"/>
            <w:noWrap w:val="0"/>
            <w:vAlign w:val="center"/>
          </w:tcPr>
          <w:p>
            <w:pPr>
              <w:jc w:val="both"/>
              <w:rPr>
                <w:rFonts w:hint="default" w:ascii="仿宋_GB2312" w:hAnsi="宋体" w:eastAsia="仿宋_GB2312" w:cs="仿宋_GB2312"/>
                <w:i w:val="0"/>
                <w:color w:val="000000"/>
                <w:sz w:val="28"/>
                <w:szCs w:val="28"/>
                <w:u w:val="none"/>
              </w:rPr>
            </w:pPr>
          </w:p>
        </w:tc>
        <w:tc>
          <w:tcPr>
            <w:tcW w:w="741" w:type="dxa"/>
            <w:noWrap w:val="0"/>
            <w:vAlign w:val="center"/>
          </w:tcPr>
          <w:p>
            <w:pPr>
              <w:jc w:val="both"/>
              <w:rPr>
                <w:rFonts w:hint="default" w:ascii="仿宋_GB2312" w:hAnsi="宋体" w:eastAsia="仿宋_GB2312" w:cs="仿宋_GB2312"/>
                <w:i w:val="0"/>
                <w:color w:val="000000"/>
                <w:sz w:val="28"/>
                <w:szCs w:val="28"/>
                <w:u w:val="none"/>
              </w:rPr>
            </w:pPr>
          </w:p>
        </w:tc>
        <w:tc>
          <w:tcPr>
            <w:tcW w:w="997" w:type="dxa"/>
            <w:noWrap w:val="0"/>
            <w:vAlign w:val="center"/>
          </w:tcPr>
          <w:p>
            <w:pPr>
              <w:rPr>
                <w:rFonts w:hint="eastAsia" w:ascii="宋体" w:hAnsi="宋体" w:eastAsia="宋体" w:cs="宋体"/>
                <w:i w:val="0"/>
                <w:color w:val="000000"/>
                <w:sz w:val="24"/>
                <w:szCs w:val="24"/>
                <w:u w:val="none"/>
              </w:rPr>
            </w:pPr>
          </w:p>
        </w:tc>
        <w:tc>
          <w:tcPr>
            <w:tcW w:w="574" w:type="dxa"/>
            <w:noWrap w:val="0"/>
            <w:vAlign w:val="center"/>
          </w:tcPr>
          <w:p>
            <w:pPr>
              <w:rPr>
                <w:rFonts w:hint="eastAsia" w:ascii="宋体" w:hAnsi="宋体" w:eastAsia="宋体" w:cs="宋体"/>
                <w:i w:val="0"/>
                <w:color w:val="000000"/>
                <w:sz w:val="24"/>
                <w:szCs w:val="24"/>
                <w:u w:val="none"/>
              </w:rPr>
            </w:pPr>
          </w:p>
        </w:tc>
        <w:tc>
          <w:tcPr>
            <w:tcW w:w="521" w:type="dxa"/>
            <w:noWrap w:val="0"/>
            <w:vAlign w:val="center"/>
          </w:tcPr>
          <w:p>
            <w:pPr>
              <w:rPr>
                <w:rFonts w:hint="eastAsia" w:ascii="宋体" w:hAnsi="宋体" w:eastAsia="宋体" w:cs="宋体"/>
                <w:i w:val="0"/>
                <w:color w:val="000000"/>
                <w:sz w:val="24"/>
                <w:szCs w:val="24"/>
                <w:u w:val="none"/>
              </w:rPr>
            </w:pPr>
          </w:p>
        </w:tc>
        <w:tc>
          <w:tcPr>
            <w:tcW w:w="1032" w:type="dxa"/>
            <w:noWrap w:val="0"/>
            <w:vAlign w:val="center"/>
          </w:tcPr>
          <w:p>
            <w:pPr>
              <w:rPr>
                <w:rFonts w:hint="eastAsia" w:ascii="宋体" w:hAnsi="宋体" w:eastAsia="宋体" w:cs="宋体"/>
                <w:i w:val="0"/>
                <w:color w:val="000000"/>
                <w:sz w:val="24"/>
                <w:szCs w:val="24"/>
                <w:u w:val="none"/>
              </w:rPr>
            </w:pPr>
          </w:p>
        </w:tc>
        <w:tc>
          <w:tcPr>
            <w:tcW w:w="745" w:type="dxa"/>
            <w:noWrap w:val="0"/>
            <w:vAlign w:val="center"/>
          </w:tcPr>
          <w:p>
            <w:pPr>
              <w:rPr>
                <w:rFonts w:hint="eastAsia" w:ascii="宋体" w:hAnsi="宋体" w:eastAsia="宋体" w:cs="宋体"/>
                <w:i w:val="0"/>
                <w:color w:val="000000"/>
                <w:sz w:val="24"/>
                <w:szCs w:val="24"/>
                <w:u w:val="none"/>
              </w:rPr>
            </w:pPr>
          </w:p>
        </w:tc>
        <w:tc>
          <w:tcPr>
            <w:tcW w:w="2045" w:type="dxa"/>
            <w:gridSpan w:val="2"/>
            <w:noWrap w:val="0"/>
            <w:vAlign w:val="center"/>
          </w:tcPr>
          <w:p>
            <w:pPr>
              <w:rPr>
                <w:rFonts w:hint="eastAsia" w:ascii="宋体" w:hAnsi="宋体" w:eastAsia="宋体" w:cs="宋体"/>
                <w:i w:val="0"/>
                <w:color w:val="000000"/>
                <w:sz w:val="24"/>
                <w:szCs w:val="24"/>
                <w:u w:val="none"/>
              </w:rPr>
            </w:pPr>
          </w:p>
        </w:tc>
        <w:tc>
          <w:tcPr>
            <w:tcW w:w="196" w:type="dxa"/>
            <w:noWrap w:val="0"/>
            <w:vAlign w:val="center"/>
          </w:tcPr>
          <w:p>
            <w:pPr>
              <w:rPr>
                <w:rFonts w:hint="eastAsia" w:ascii="宋体" w:hAnsi="宋体" w:eastAsia="宋体" w:cs="宋体"/>
                <w:i w:val="0"/>
                <w:color w:val="000000"/>
                <w:sz w:val="24"/>
                <w:szCs w:val="24"/>
                <w:u w:val="none"/>
              </w:rPr>
            </w:pPr>
          </w:p>
        </w:tc>
        <w:tc>
          <w:tcPr>
            <w:tcW w:w="475" w:type="dxa"/>
            <w:noWrap w:val="0"/>
            <w:vAlign w:val="center"/>
          </w:tcPr>
          <w:p>
            <w:pPr>
              <w:rPr>
                <w:rFonts w:hint="eastAsia" w:ascii="宋体" w:hAnsi="宋体" w:eastAsia="宋体" w:cs="宋体"/>
                <w:i w:val="0"/>
                <w:color w:val="000000"/>
                <w:sz w:val="24"/>
                <w:szCs w:val="24"/>
                <w:u w:val="none"/>
              </w:rPr>
            </w:pPr>
          </w:p>
        </w:tc>
        <w:tc>
          <w:tcPr>
            <w:tcW w:w="1469" w:type="dxa"/>
            <w:gridSpan w:val="3"/>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3988" w:type="dxa"/>
            <w:gridSpan w:val="20"/>
            <w:noWrap w:val="0"/>
            <w:vAlign w:val="center"/>
          </w:tcPr>
          <w:p>
            <w:pPr>
              <w:jc w:val="center"/>
              <w:rPr>
                <w:rFonts w:hint="eastAsia" w:ascii="宋体" w:hAnsi="宋体" w:eastAsia="宋体" w:cs="宋体"/>
                <w:i w:val="0"/>
                <w:color w:val="000000"/>
                <w:sz w:val="24"/>
                <w:szCs w:val="24"/>
                <w:u w:val="none"/>
              </w:rPr>
            </w:pPr>
            <w:bookmarkStart w:id="0" w:name="_GoBack"/>
            <w:r>
              <w:rPr>
                <w:rFonts w:hint="eastAsia" w:ascii="仿宋_GB2312" w:eastAsia="仿宋_GB2312"/>
                <w:sz w:val="32"/>
                <w:szCs w:val="32"/>
              </w:rPr>
              <w:t>2019年高校毕业生供需见面会暨博士对接洽谈会岗位信息一览表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单位性质</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所属行业</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是否上市公司</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联系人</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岗位名称</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岗位类别</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需求人数</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专业要求</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学历及其它要求</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提供待遇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(年薪、工作和生活条件等)</w:t>
            </w:r>
          </w:p>
        </w:tc>
        <w:tc>
          <w:tcPr>
            <w:tcW w:w="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是否申报见习岗位</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1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1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骨科医师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临床医学、外科学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博士研究生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全日制普通高等医学院校毕业，骨科研究方向，参加过国家自然科学基金项目或部级科研项目，以第一作者发表过SCI论文，具有执业医师资格。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最低服务年限5年</w:t>
            </w:r>
          </w:p>
        </w:tc>
        <w:tc>
          <w:tcPr>
            <w:tcW w:w="1709"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联系电话：0591-22169382；邮件：749517@qq.com；联系地址:福州市仓山区上藤路47号 人力资源部  ;网址：http://www.fzsdeyy.com/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骨科研究所专职科研人员</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分析化学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博士研究生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全日制普通高等院校毕业，石墨烯等纳米材料制备及生化应用研究方向，工学或理学博士学位，以第一作者发表过SCI论文至少2篇。</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肿瘤外科医师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临床医学、外科学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全日制普通高等医学院校毕业，胃肠外科研究方向。具有执业医师资格，参加过市级及以上科研项目。</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重症医学科医师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重症医学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临床医学、康复医学与理疗学、运动医学、针灸推拿学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全日制普通高等医学院校毕业，康复研究方向，具有执业医师资格。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心血管内科医师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临床医学、内科学、中西医结合临床</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全日制普通高等医学院校毕业，心血管内科或心电生理研究方向，具有执业医师资格。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急诊科医师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内科学、急诊医学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年薪15-20万，另可申请福州市博士人才政策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中医骨伤科学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全日制普通高等医学院校2019年应届毕业，专业型硕士学位，本科阶段须全日制普通高等医学院校中医学专业，中医骨伤培养方向五年制毕业，具有执业医师资格，以第一作者在核心期刊发表过论文。</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骨科研究所专职科研人员</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无机化学、化学工艺、生物医学工程</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全日制普通高等院校毕业，生物医用材料（骨科植入物）研究方向。</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肛肠科医师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中西医结合临床</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全日制普通高等医学院校2019年应届毕业，普通外科疾病研究方向。</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耳鼻喉科医师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临床医学、中西医结合临床、耳鼻咽喉科学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全日制普通高等医学院校毕业，耳鼻喉研究方向，具有执业医师资格。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皮肤科医师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中西医结合临床</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全日制普通高等医学院校2019年应届毕业，皮肤外科疾病的临床研究方向，本科阶段须全日制普通高等医学院校中医学专业五年制毕业，具有执业医师资格。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肾内科医师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中医内科学、中西医结合临床</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全日制普通高等医学院校2019年应届毕业，肾脏病研究方向，本科阶段须全日制普通高等医学院校中医学或中西医临床医学专业五年制毕业，具有执业医师资格。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中西医结合基础</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全日制普通高等医学院校毕业，内分泌研究方向，本科阶段须全日制普通高等医学院校中西医临床医学专业毕业，具有执业医师资格。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内分泌科医师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中医内科学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全日制普通高等医学院校2019年应届毕业，内分泌研究方向，本科阶段须全日制普通高等医学院校中医学专业毕业，具有执业医师资格。</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新生儿科医师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临床医学、儿科学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全日制普通高等医学院校2019年应届毕业，新生儿或儿科研究方向，本科阶段须全日制普通高等医学院校临床医学专业五年制毕业。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病理学与病理生理学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全日制普通高等医学院校毕业，本科阶段须全日制普通高等医学院校临床医学专业五年制毕业。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神经内科医师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中西医结合临床</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全日制普通高等医学院校2019年应届毕业，神经内科学研究方向，本科阶段须全日制普通高等医学院校中医学专业五年制毕业。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神经内科医师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神经病学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全日制普通高等医学院校2019年应届毕业，神经介入研究方向，本科阶段须全日制普通高等医学院校临床医学专业五年制毕业。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临床医学、影像医学与核医学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全日制普通高等医学院校毕业，本科阶段须全日制普通高等医学院校临床医学专业毕业，具有执业医师资格，若为住院医师规范化培训生应当已经完成或正在放射专业规培，否则要承诺重新参加放射专业的规培。</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超声科医师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临床医学、影像医学与核医学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全日制普通高等医学院校2019年应届毕业，超声医学研究方向，本科阶段须全日制普通高等医学院校临床医学专业五年制毕业。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康复科技师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康复医学与理疗学、运动医学、针灸推拿学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全日制普通高等医学院校毕业，康复研究方向。</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药剂科药师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药剂学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全日制普通高等医学院校2019年应届毕业，本科阶段须全日制普通高等医学院校药学或药剂学专业，四年及以上学制毕业。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6" w:hRule="atLeast"/>
        </w:trPr>
        <w:tc>
          <w:tcPr>
            <w:tcW w:w="3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药剂科药师</w:t>
            </w:r>
          </w:p>
        </w:tc>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药学、药理学</w:t>
            </w:r>
          </w:p>
        </w:tc>
        <w:tc>
          <w:tcPr>
            <w:tcW w:w="25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全日制普通高等医学院校2019年应届毕业，本科阶段须全日制普通高等医学院校药学、药理学或临床医学专业，四年及以上学制毕业。</w:t>
            </w:r>
          </w:p>
        </w:tc>
        <w:tc>
          <w:tcPr>
            <w:tcW w:w="1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1" w:hRule="atLeast"/>
        </w:trPr>
        <w:tc>
          <w:tcPr>
            <w:tcW w:w="37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福州市第二医院</w:t>
            </w:r>
          </w:p>
        </w:tc>
        <w:tc>
          <w:tcPr>
            <w:tcW w:w="64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w:t>
            </w:r>
          </w:p>
        </w:tc>
        <w:tc>
          <w:tcPr>
            <w:tcW w:w="62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卫生和社会工作</w:t>
            </w:r>
          </w:p>
        </w:tc>
        <w:tc>
          <w:tcPr>
            <w:tcW w:w="61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5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孙璇</w:t>
            </w:r>
          </w:p>
        </w:tc>
        <w:tc>
          <w:tcPr>
            <w:tcW w:w="74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13960888175</w:t>
            </w:r>
          </w:p>
        </w:tc>
        <w:tc>
          <w:tcPr>
            <w:tcW w:w="99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临床护理</w:t>
            </w:r>
          </w:p>
        </w:tc>
        <w:tc>
          <w:tcPr>
            <w:tcW w:w="57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专技</w:t>
            </w:r>
          </w:p>
        </w:tc>
        <w:tc>
          <w:tcPr>
            <w:tcW w:w="521"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护理学</w:t>
            </w:r>
          </w:p>
        </w:tc>
        <w:tc>
          <w:tcPr>
            <w:tcW w:w="258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全日制普通高等医学院校毕业，本科阶段须全日制普通高等医学院校护理学专业四年及以上学制毕业。</w:t>
            </w:r>
          </w:p>
        </w:tc>
        <w:tc>
          <w:tcPr>
            <w:tcW w:w="1280"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年薪10-15万，另可申请福州市硕士人才政策</w:t>
            </w:r>
          </w:p>
        </w:tc>
        <w:tc>
          <w:tcPr>
            <w:tcW w:w="582" w:type="dxa"/>
            <w:tcBorders>
              <w:top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48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最低服务年限5年</w:t>
            </w:r>
          </w:p>
        </w:tc>
        <w:tc>
          <w:tcPr>
            <w:tcW w:w="1709" w:type="dxa"/>
            <w:vMerge w:val="continue"/>
            <w:tcBorders>
              <w:left w:val="single" w:color="000000" w:sz="4" w:space="0"/>
              <w:right w:val="single" w:color="000000" w:sz="4" w:space="0"/>
            </w:tcBorders>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988" w:type="dxa"/>
            <w:gridSpan w:val="20"/>
            <w:vMerge w:val="restart"/>
            <w:noWrap w:val="0"/>
            <w:vAlign w:val="top"/>
          </w:tcPr>
          <w:p>
            <w:pPr>
              <w:keepNext w:val="0"/>
              <w:keepLines w:val="0"/>
              <w:widowControl/>
              <w:suppressLineNumbers w:val="0"/>
              <w:jc w:val="left"/>
              <w:textAlignment w:val="top"/>
              <w:rPr>
                <w:rFonts w:ascii="楷体_GB2312" w:hAnsi="宋体" w:eastAsia="楷体_GB2312" w:cs="楷体_GB2312"/>
                <w:i w:val="0"/>
                <w:color w:val="000000"/>
                <w:sz w:val="28"/>
                <w:szCs w:val="28"/>
                <w:u w:val="none"/>
              </w:rPr>
            </w:pPr>
            <w:r>
              <w:rPr>
                <w:rFonts w:hint="eastAsia" w:ascii="宋体" w:hAnsi="宋体" w:eastAsia="宋体" w:cs="宋体"/>
                <w:i w:val="0"/>
                <w:color w:val="000000"/>
                <w:kern w:val="0"/>
                <w:sz w:val="21"/>
                <w:szCs w:val="21"/>
                <w:u w:val="none"/>
                <w:lang w:val="en-US" w:eastAsia="zh-CN" w:bidi="ar"/>
              </w:rPr>
              <w:t>注：（1）单位性质分为：1.行政机关，2.事业单位，3.央企，4.省属国企，5.其他国企，6.民营企业，7.三资企业，8.社团组织，9.其他。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所属行业分为：1.农、林、牧、渔业，2.采矿业，3.制造业，4.电力、热力、燃气及水的生产和供应业，5.建筑业，6.批发和零售业，7.交通运输、仓储和邮政业，8.住宿和餐饮业，9.信息运输、软件和信息技术服务业，10.金融业，11.房地产业，12.租赁和商务服务业，13.科学研究和技术服务业，14.水利、环境和公共设施管理业，15.居民服务、修理和其他服务业，16.教育，17.卫生和社会工作，18.文化、体育和娱乐业，19.公共管理、社会保障和社会组织，20.国际组织，21.军队。</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岗位类别分为：1.计算机/互联网/电子商务，2.机械/电子/自动化，3.百货/连锁/零售服务，4.市场营销/公关/销售，5.高级管理，6.人力资源/行政，7.财务/审计/税务，8.证券/银行/保险，9.生产/营运/质量/安全，10.采购/贸易/物流/仓储，11.设计/创意/美术/广告，12.建筑/房地产开发/物业管理，13.生物/制药/化工，14.医疗/卫生/医疗器械，15.咨询/中介/律师/法务，16.教师/培训/科研，17.技工/普工，18.其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（4）经县（市）区政府人社部门审核认定的见习岗位，可享受我市见习补贴相关政策。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13988" w:type="dxa"/>
            <w:gridSpan w:val="20"/>
            <w:vMerge w:val="continue"/>
            <w:noWrap w:val="0"/>
            <w:vAlign w:val="top"/>
          </w:tcPr>
          <w:p>
            <w:pPr>
              <w:jc w:val="left"/>
              <w:rPr>
                <w:rFonts w:hint="default" w:ascii="楷体_GB2312" w:hAnsi="宋体" w:eastAsia="楷体_GB2312" w:cs="楷体_GB2312"/>
                <w:i w:val="0"/>
                <w:color w:val="000000"/>
                <w:sz w:val="28"/>
                <w:szCs w:val="28"/>
                <w:u w:val="none"/>
              </w:rPr>
            </w:pPr>
          </w:p>
        </w:tc>
      </w:tr>
    </w:tbl>
    <w:p>
      <w:pPr>
        <w:spacing w:line="540" w:lineRule="exact"/>
        <w:ind w:firstLine="645"/>
        <w:jc w:val="left"/>
        <w:rPr>
          <w:rFonts w:hint="eastAsia" w:ascii="仿宋_GB2312" w:eastAsia="仿宋_GB2312"/>
          <w:sz w:val="32"/>
          <w:szCs w:val="32"/>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0A"/>
    <w:rsid w:val="00784B0A"/>
    <w:rsid w:val="50356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2019-02-01T01:01:00Z</dcterms:created>
  <dc:creator>阿牛</dc:creator>
  <cp:lastModifiedBy>阿牛</cp:lastModifiedBy>
  <dcterms:modified xsi:type="dcterms:W3CDTF">2019-02-01T01:02:06Z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