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F0" w:rsidRPr="00B40EF0" w:rsidRDefault="00B40EF0" w:rsidP="00B40EF0">
      <w:pPr>
        <w:shd w:val="clear" w:color="auto" w:fill="FFFFFF"/>
        <w:adjustRightInd/>
        <w:snapToGrid/>
        <w:spacing w:after="0"/>
        <w:textAlignment w:val="baseline"/>
        <w:rPr>
          <w:rFonts w:eastAsia="宋体" w:cs="Tahoma"/>
          <w:color w:val="494949"/>
          <w:sz w:val="21"/>
          <w:szCs w:val="21"/>
        </w:rPr>
      </w:pPr>
      <w:r w:rsidRPr="00B40EF0">
        <w:rPr>
          <w:rFonts w:ascii="微软雅黑" w:hAnsi="微软雅黑" w:cs="Tahoma" w:hint="eastAsia"/>
          <w:b/>
          <w:bCs/>
          <w:color w:val="494949"/>
          <w:sz w:val="21"/>
          <w:szCs w:val="21"/>
        </w:rPr>
        <w:t>二、人才引进计划（教师岗位）</w:t>
      </w:r>
    </w:p>
    <w:tbl>
      <w:tblPr>
        <w:tblW w:w="5000" w:type="pct"/>
        <w:tblCellSpacing w:w="0" w:type="dxa"/>
        <w:tblBorders>
          <w:top w:val="outset" w:sz="8" w:space="0" w:color="000000"/>
          <w:left w:val="outset" w:sz="8" w:space="0" w:color="000000"/>
          <w:bottom w:val="inset" w:sz="8" w:space="0" w:color="000000"/>
          <w:right w:val="in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5"/>
        <w:gridCol w:w="3923"/>
        <w:gridCol w:w="417"/>
        <w:gridCol w:w="2671"/>
      </w:tblGrid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b/>
                <w:bCs/>
                <w:color w:val="494949"/>
                <w:sz w:val="21"/>
              </w:rPr>
              <w:t>部门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b/>
                <w:bCs/>
                <w:color w:val="494949"/>
                <w:sz w:val="21"/>
              </w:rPr>
              <w:t>专业或学科方向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b/>
                <w:bCs/>
                <w:color w:val="494949"/>
                <w:sz w:val="21"/>
              </w:rPr>
              <w:t>人数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b/>
                <w:bCs/>
                <w:color w:val="494949"/>
                <w:sz w:val="21"/>
              </w:rPr>
              <w:t>学历、职称要求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英语学院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英语语言文学、翻译、商务英语、学前教育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东方语言学院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日语、韩语、阿拉伯语相关专业</w:t>
            </w:r>
          </w:p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（国际关系、国际政治、历史学、人类文化学、比较文学等方向优先）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rPr>
                <w:rFonts w:eastAsia="宋体" w:cs="Tahoma"/>
                <w:color w:val="494949"/>
                <w:sz w:val="21"/>
                <w:szCs w:val="21"/>
              </w:rPr>
            </w:pP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印尼语、泰语、土耳其语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西方语言学院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法语、俄语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rPr>
                <w:rFonts w:eastAsia="宋体" w:cs="Tahoma"/>
                <w:color w:val="494949"/>
                <w:sz w:val="21"/>
                <w:szCs w:val="21"/>
              </w:rPr>
            </w:pP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德语、西班牙语、意大利语、葡萄牙语、捷克语、波兰语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国际金融与贸易学院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国际经济与贸易、金融工程、税收学、投资学、统计学、数学、计算机、网络技术等相关专业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硕士、博士、或副教授及以上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国际商学院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工商管理、国际商务、物流管理、电子商务、大数据、财务管理、市场营销、人力资源管理等相关专业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硕士、博士、或副教授及以上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网络传播学院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新闻学、传播学、编辑出版学、网络与新媒体；或研究方向与互联网相关的政治学、历史学、文艺学等相关专业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硕士、博士或副教授及以上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rPr>
                <w:rFonts w:eastAsia="宋体" w:cs="Tahoma"/>
                <w:color w:val="494949"/>
                <w:sz w:val="21"/>
                <w:szCs w:val="21"/>
              </w:rPr>
            </w:pP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环境设计、数字媒体艺术、广播电视艺术、播音主持等相关专业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硕士、博士或副教授及以上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中国语言文化学院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中国语言文学（现代汉语、先秦文学、网络文学等）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rPr>
                <w:rFonts w:eastAsia="宋体" w:cs="Tahoma"/>
                <w:color w:val="494949"/>
                <w:sz w:val="21"/>
                <w:szCs w:val="21"/>
              </w:rPr>
            </w:pP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戏剧影视文学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硕士、博士或副教授及以上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留学生教育学院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汉语国际教育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硕士、博士或副教授及以上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酒店管理学院</w:t>
            </w:r>
          </w:p>
        </w:tc>
        <w:tc>
          <w:tcPr>
            <w:tcW w:w="2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酒店管理/会展经济与管理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rPr>
                <w:rFonts w:eastAsia="宋体" w:cs="Tahoma"/>
                <w:color w:val="49494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rPr>
                <w:rFonts w:eastAsia="宋体" w:cs="Tahoma"/>
                <w:color w:val="494949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国际学院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英语、英美文学、商务英语等相关专业，雅思特长优先考虑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博士或副教授或雅思专长硕士（硕士要求雅思总分7.5分以上，某项单分成绩8分）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马克思主义学院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中国近代史、世界历史、哲学、马克思主义理论、思想政治教育、心理学等相关专业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大学外语部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英语、翻译等相关专业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博士或副教授及以上</w:t>
            </w:r>
          </w:p>
        </w:tc>
      </w:tr>
      <w:tr w:rsidR="00B40EF0" w:rsidRPr="00B40EF0" w:rsidTr="00B40EF0">
        <w:trPr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体育艺术部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体育学（篮球、排球方向）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若干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EF0" w:rsidRPr="00B40EF0" w:rsidRDefault="00B40EF0" w:rsidP="00B40EF0">
            <w:pPr>
              <w:adjustRightInd/>
              <w:snapToGrid/>
              <w:spacing w:after="0"/>
              <w:jc w:val="center"/>
              <w:textAlignment w:val="baseline"/>
              <w:rPr>
                <w:rFonts w:eastAsia="宋体" w:cs="Tahoma"/>
                <w:color w:val="494949"/>
                <w:sz w:val="21"/>
                <w:szCs w:val="21"/>
              </w:rPr>
            </w:pPr>
            <w:r w:rsidRPr="00B40EF0">
              <w:rPr>
                <w:rFonts w:ascii="黑体" w:eastAsia="黑体" w:hAnsi="黑体" w:cs="Tahoma" w:hint="eastAsia"/>
                <w:color w:val="494949"/>
                <w:sz w:val="21"/>
                <w:szCs w:val="21"/>
              </w:rPr>
              <w:t>硕士或副教授及以上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3CCC"/>
    <w:rsid w:val="00323B43"/>
    <w:rsid w:val="003D37D8"/>
    <w:rsid w:val="00426133"/>
    <w:rsid w:val="004358AB"/>
    <w:rsid w:val="008B7726"/>
    <w:rsid w:val="00B40EF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EF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40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2019-01-03T08:14:00Z</dcterms:modified>
</cp:coreProperties>
</file>