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widowControl/>
        <w:shd w:val="clear" w:color="auto" w:fill="FFFFFF"/>
        <w:spacing w:line="580" w:lineRule="exact"/>
        <w:jc w:val="center"/>
        <w:rPr>
          <w:rFonts w:ascii="仿宋_GB2312" w:hAnsi="仿宋_GB2312" w:eastAsia="仿宋_GB2312" w:cs="仿宋_GB2312"/>
          <w:color w:val="000000"/>
          <w:kern w:val="0"/>
          <w:sz w:val="32"/>
          <w:szCs w:val="32"/>
        </w:rPr>
      </w:pPr>
      <w:r>
        <w:rPr>
          <w:rFonts w:hint="eastAsia" w:ascii="华文中宋" w:hAnsi="华文中宋" w:eastAsia="方正小标宋简体" w:cs="华文中宋"/>
          <w:color w:val="000000"/>
          <w:kern w:val="0"/>
          <w:sz w:val="44"/>
          <w:szCs w:val="44"/>
        </w:rPr>
        <w:t>各单位招聘岗位表</w:t>
      </w:r>
    </w:p>
    <w:tbl>
      <w:tblPr>
        <w:tblStyle w:val="11"/>
        <w:tblpPr w:leftFromText="180" w:rightFromText="180" w:vertAnchor="text" w:horzAnchor="page" w:tblpX="889" w:tblpY="1294"/>
        <w:tblOverlap w:val="never"/>
        <w:tblW w:w="15121" w:type="dxa"/>
        <w:tblInd w:w="0" w:type="dxa"/>
        <w:tblLayout w:type="fixed"/>
        <w:tblCellMar>
          <w:top w:w="15" w:type="dxa"/>
          <w:left w:w="15" w:type="dxa"/>
          <w:bottom w:w="15" w:type="dxa"/>
          <w:right w:w="15" w:type="dxa"/>
        </w:tblCellMar>
      </w:tblPr>
      <w:tblGrid>
        <w:gridCol w:w="549"/>
        <w:gridCol w:w="1468"/>
        <w:gridCol w:w="878"/>
        <w:gridCol w:w="1844"/>
        <w:gridCol w:w="562"/>
        <w:gridCol w:w="1545"/>
        <w:gridCol w:w="9"/>
        <w:gridCol w:w="1831"/>
        <w:gridCol w:w="2085"/>
        <w:gridCol w:w="1304"/>
        <w:gridCol w:w="3046"/>
      </w:tblGrid>
      <w:tr>
        <w:tblPrEx>
          <w:tblLayout w:type="fixed"/>
          <w:tblCellMar>
            <w:top w:w="15" w:type="dxa"/>
            <w:left w:w="15" w:type="dxa"/>
            <w:bottom w:w="15" w:type="dxa"/>
            <w:right w:w="15" w:type="dxa"/>
          </w:tblCellMar>
        </w:tblPrEx>
        <w:trPr>
          <w:gridAfter w:val="8"/>
          <w:wAfter w:w="12226" w:type="dxa"/>
          <w:trHeight w:val="330" w:hRule="atLeast"/>
        </w:trPr>
        <w:tc>
          <w:tcPr>
            <w:tcW w:w="2895" w:type="dxa"/>
            <w:gridSpan w:val="3"/>
            <w:tcBorders>
              <w:bottom w:val="single" w:color="000000" w:sz="4" w:space="0"/>
            </w:tcBorders>
            <w:vAlign w:val="center"/>
          </w:tcPr>
          <w:p>
            <w:pPr>
              <w:widowControl/>
              <w:jc w:val="left"/>
              <w:textAlignment w:val="center"/>
              <w:rPr>
                <w:rFonts w:ascii="宋体" w:cs="宋体"/>
                <w:b/>
                <w:color w:val="000000"/>
                <w:sz w:val="24"/>
                <w:szCs w:val="24"/>
              </w:rPr>
            </w:pPr>
            <w:r>
              <w:rPr>
                <w:rFonts w:hint="eastAsia" w:ascii="仿宋_GB2312" w:hAnsi="仿宋_GB2312" w:eastAsia="仿宋_GB2312" w:cs="仿宋_GB2312"/>
                <w:b/>
                <w:color w:val="000000"/>
                <w:kern w:val="0"/>
                <w:sz w:val="24"/>
                <w:szCs w:val="24"/>
              </w:rPr>
              <w:t>县人民医院岗位需求：</w:t>
            </w:r>
            <w:r>
              <w:rPr>
                <w:rFonts w:ascii="仿宋_GB2312" w:hAnsi="仿宋_GB2312" w:eastAsia="仿宋_GB2312" w:cs="仿宋_GB2312"/>
                <w:b/>
                <w:color w:val="000000"/>
                <w:kern w:val="0"/>
                <w:sz w:val="24"/>
                <w:szCs w:val="24"/>
              </w:rPr>
              <w:t>3</w:t>
            </w:r>
            <w:r>
              <w:rPr>
                <w:rFonts w:hint="eastAsia" w:ascii="仿宋_GB2312" w:hAnsi="仿宋_GB2312" w:eastAsia="仿宋_GB2312" w:cs="仿宋_GB2312"/>
                <w:b/>
                <w:color w:val="000000"/>
                <w:kern w:val="0"/>
                <w:sz w:val="24"/>
                <w:szCs w:val="24"/>
                <w:lang w:val="en-US" w:eastAsia="zh-CN"/>
              </w:rPr>
              <w:t>9</w:t>
            </w:r>
            <w:r>
              <w:rPr>
                <w:rFonts w:hint="eastAsia" w:ascii="仿宋_GB2312" w:hAnsi="仿宋_GB2312" w:eastAsia="仿宋_GB2312" w:cs="仿宋_GB2312"/>
                <w:b/>
                <w:color w:val="000000"/>
                <w:kern w:val="0"/>
                <w:sz w:val="24"/>
                <w:szCs w:val="24"/>
              </w:rPr>
              <w:t>人</w:t>
            </w:r>
          </w:p>
        </w:tc>
      </w:tr>
      <w:tr>
        <w:tblPrEx>
          <w:tblLayout w:type="fixed"/>
          <w:tblCellMar>
            <w:top w:w="15" w:type="dxa"/>
            <w:left w:w="15" w:type="dxa"/>
            <w:bottom w:w="15" w:type="dxa"/>
            <w:right w:w="15" w:type="dxa"/>
          </w:tblCellMar>
        </w:tblPrEx>
        <w:trPr>
          <w:trHeight w:val="515" w:hRule="atLeast"/>
        </w:trPr>
        <w:tc>
          <w:tcPr>
            <w:tcW w:w="5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编号</w:t>
            </w:r>
          </w:p>
        </w:tc>
        <w:tc>
          <w:tcPr>
            <w:tcW w:w="14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岗位名称</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人数</w:t>
            </w:r>
          </w:p>
        </w:tc>
        <w:tc>
          <w:tcPr>
            <w:tcW w:w="12226"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需求条件</w:t>
            </w:r>
          </w:p>
        </w:tc>
      </w:tr>
      <w:tr>
        <w:tblPrEx>
          <w:tblLayout w:type="fixed"/>
          <w:tblCellMar>
            <w:top w:w="15" w:type="dxa"/>
            <w:left w:w="15" w:type="dxa"/>
            <w:bottom w:w="15" w:type="dxa"/>
            <w:right w:w="15" w:type="dxa"/>
          </w:tblCellMar>
        </w:tblPrEx>
        <w:trPr>
          <w:trHeight w:val="660" w:hRule="atLeast"/>
        </w:trPr>
        <w:tc>
          <w:tcPr>
            <w:tcW w:w="5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22"/>
              </w:rPr>
            </w:pPr>
          </w:p>
        </w:tc>
        <w:tc>
          <w:tcPr>
            <w:tcW w:w="14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22"/>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22"/>
              </w:rPr>
            </w:pP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户籍</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性别</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民族</w:t>
            </w:r>
          </w:p>
        </w:tc>
        <w:tc>
          <w:tcPr>
            <w:tcW w:w="1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学历</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年龄</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rPr>
              <w:t>其他</w:t>
            </w:r>
          </w:p>
        </w:tc>
      </w:tr>
      <w:tr>
        <w:tblPrEx>
          <w:tblLayout w:type="fixed"/>
          <w:tblCellMar>
            <w:top w:w="15" w:type="dxa"/>
            <w:left w:w="15" w:type="dxa"/>
            <w:bottom w:w="15" w:type="dxa"/>
            <w:right w:w="15" w:type="dxa"/>
          </w:tblCellMar>
        </w:tblPrEx>
        <w:trPr>
          <w:trHeight w:val="1727"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i w:val="0"/>
                <w:color w:val="000000"/>
                <w:kern w:val="0"/>
                <w:sz w:val="20"/>
                <w:szCs w:val="20"/>
                <w:u w:val="none"/>
                <w:lang w:val="en-US" w:eastAsia="zh-CN" w:bidi="ar"/>
              </w:rPr>
              <w:t>心血管内科医师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2</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呼吸内科医师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3</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神经外科医生</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4</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内分泌科医师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eastAsia="zh-CN"/>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5</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神经内科医师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6</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重症医学科医师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7</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眼科医师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8</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骨科医师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9</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儿科医师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10</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耳鼻喉科医师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11</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精神科医师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12</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麻醉科医师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临床医学专业或麻醉学专业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13</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i w:val="0"/>
                <w:color w:val="000000"/>
                <w:kern w:val="0"/>
                <w:sz w:val="20"/>
                <w:szCs w:val="20"/>
                <w:u w:val="none"/>
                <w:lang w:val="en-US" w:eastAsia="zh-CN" w:bidi="ar"/>
              </w:rPr>
              <w:t>药剂科临床药师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药学或临床药学专业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药师或以上职称，具有临床药师培训合格证或已完成临床药师规范化培训者。</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14</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超声科诊断医师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硕士研究生</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以上（脱产）</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初、中级职称年龄在40周岁以下，高级职称年龄45周岁以下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15</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消化内科医师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卫生中级专业技术职称及以上职称或初级职称要求已完成住院医师规范化培训；二级甲等综合医院从事相关专业3年以上工作经历。具有消化内镜操作技能优先。</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16</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放射科诊断医师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临床医学专业或影像学专业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17</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肾病内科医师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初、中级职称年龄在40周岁以下，高级职称年龄45周岁以下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卫生中级专业技术职称及以上职称或初级职称要求已完成住院医师规范化培训；二级甲等综合医院从事相关专业3年以上工作经历。有血透室工作经历优先。</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18</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急诊科医师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4</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trHeight w:val="1095"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19</w:t>
            </w:r>
          </w:p>
        </w:tc>
        <w:tc>
          <w:tcPr>
            <w:tcW w:w="14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心电图医师</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_GB2312" w:hAnsi="仿宋_GB2312" w:eastAsia="仿宋_GB2312" w:cs="仿宋_GB2312"/>
                <w:color w:val="000000"/>
                <w:kern w:val="0"/>
                <w:sz w:val="20"/>
                <w:szCs w:val="20"/>
              </w:rPr>
            </w:pPr>
            <w:r>
              <w:rPr>
                <w:rFonts w:hint="eastAsia" w:ascii="仿宋_GB2312" w:hAnsi="宋体" w:eastAsia="仿宋_GB2312" w:cs="仿宋_GB2312"/>
                <w:i w:val="0"/>
                <w:color w:val="000000"/>
                <w:kern w:val="0"/>
                <w:sz w:val="20"/>
                <w:szCs w:val="20"/>
                <w:u w:val="none"/>
                <w:lang w:val="en-US" w:eastAsia="zh-CN" w:bidi="ar"/>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不限</w:t>
            </w:r>
          </w:p>
        </w:tc>
        <w:tc>
          <w:tcPr>
            <w:tcW w:w="18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临床医学专业</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i w:val="0"/>
                <w:color w:val="000000"/>
                <w:kern w:val="0"/>
                <w:sz w:val="20"/>
                <w:szCs w:val="20"/>
                <w:u w:val="none"/>
                <w:lang w:val="en-US" w:eastAsia="zh-CN" w:bidi="ar"/>
              </w:rPr>
              <w:t>初、中级职称年龄在35周岁以下，高级职称年龄45周岁以下</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color w:val="000000"/>
                <w:kern w:val="0"/>
                <w:sz w:val="20"/>
                <w:szCs w:val="20"/>
                <w:u w:val="none"/>
                <w:lang w:val="en-US" w:eastAsia="zh-CN" w:bidi="ar"/>
              </w:rPr>
              <w:t>卫生中级专业技术职称及以上职称或初级职称要求已完成住院医师规范化培训；二级甲等综合医院从事相关专业3年以上工作经历。</w:t>
            </w:r>
          </w:p>
        </w:tc>
      </w:tr>
      <w:tr>
        <w:tblPrEx>
          <w:tblLayout w:type="fixed"/>
          <w:tblCellMar>
            <w:top w:w="15" w:type="dxa"/>
            <w:left w:w="15" w:type="dxa"/>
            <w:bottom w:w="15" w:type="dxa"/>
            <w:right w:w="15" w:type="dxa"/>
          </w:tblCellMar>
        </w:tblPrEx>
        <w:trPr>
          <w:gridAfter w:val="8"/>
          <w:wAfter w:w="12226" w:type="dxa"/>
          <w:trHeight w:val="765" w:hRule="atLeast"/>
        </w:trPr>
        <w:tc>
          <w:tcPr>
            <w:tcW w:w="2895" w:type="dxa"/>
            <w:gridSpan w:val="3"/>
            <w:vAlign w:val="bottom"/>
          </w:tcPr>
          <w:p>
            <w:pPr>
              <w:widowControl/>
              <w:jc w:val="left"/>
              <w:textAlignment w:val="center"/>
              <w:rPr>
                <w:rFonts w:ascii="仿宋_GB2312" w:hAnsi="仿宋_GB2312" w:eastAsia="仿宋_GB2312" w:cs="仿宋_GB2312"/>
                <w:b/>
                <w:color w:val="000000"/>
                <w:kern w:val="0"/>
                <w:sz w:val="24"/>
                <w:szCs w:val="24"/>
              </w:rPr>
            </w:pPr>
          </w:p>
          <w:p>
            <w:pPr>
              <w:widowControl/>
              <w:jc w:val="left"/>
              <w:textAlignment w:val="center"/>
              <w:rPr>
                <w:rFonts w:ascii="仿宋_GB2312" w:hAnsi="仿宋_GB2312" w:eastAsia="仿宋_GB2312" w:cs="仿宋_GB2312"/>
                <w:b/>
                <w:color w:val="000000"/>
                <w:kern w:val="0"/>
                <w:sz w:val="24"/>
                <w:szCs w:val="24"/>
              </w:rPr>
            </w:pPr>
          </w:p>
          <w:p>
            <w:pPr>
              <w:widowControl/>
              <w:jc w:val="left"/>
              <w:textAlignment w:val="center"/>
              <w:rPr>
                <w:rFonts w:ascii="仿宋_GB2312" w:hAnsi="仿宋_GB2312" w:eastAsia="仿宋_GB2312" w:cs="仿宋_GB2312"/>
                <w:b/>
                <w:color w:val="000000"/>
                <w:kern w:val="0"/>
                <w:sz w:val="24"/>
                <w:szCs w:val="24"/>
              </w:rPr>
            </w:pPr>
          </w:p>
          <w:p>
            <w:pPr>
              <w:widowControl/>
              <w:jc w:val="left"/>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4"/>
                <w:szCs w:val="24"/>
              </w:rPr>
              <w:t>中医院岗位需求：</w:t>
            </w:r>
            <w:r>
              <w:rPr>
                <w:rFonts w:hint="eastAsia" w:ascii="仿宋_GB2312" w:hAnsi="仿宋_GB2312" w:eastAsia="仿宋_GB2312" w:cs="仿宋_GB2312"/>
                <w:b/>
                <w:color w:val="000000"/>
                <w:kern w:val="0"/>
                <w:sz w:val="24"/>
                <w:szCs w:val="24"/>
                <w:lang w:val="en-US" w:eastAsia="zh-CN"/>
              </w:rPr>
              <w:t>4</w:t>
            </w:r>
            <w:r>
              <w:rPr>
                <w:rFonts w:hint="eastAsia" w:ascii="仿宋_GB2312" w:hAnsi="仿宋_GB2312" w:eastAsia="仿宋_GB2312" w:cs="仿宋_GB2312"/>
                <w:b/>
                <w:color w:val="000000"/>
                <w:kern w:val="0"/>
                <w:sz w:val="24"/>
                <w:szCs w:val="24"/>
              </w:rPr>
              <w:t>人</w:t>
            </w:r>
          </w:p>
        </w:tc>
      </w:tr>
      <w:tr>
        <w:tblPrEx>
          <w:tblLayout w:type="fixed"/>
          <w:tblCellMar>
            <w:top w:w="15" w:type="dxa"/>
            <w:left w:w="15" w:type="dxa"/>
            <w:bottom w:w="15" w:type="dxa"/>
            <w:right w:w="15" w:type="dxa"/>
          </w:tblCellMar>
        </w:tblPrEx>
        <w:trPr>
          <w:trHeight w:val="540"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放射科诊断医师</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医学影像学或临床医学</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30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有工作经验，</w:t>
            </w:r>
            <w:r>
              <w:rPr>
                <w:rFonts w:hint="eastAsia" w:ascii="仿宋_GB2312" w:hAnsi="仿宋_GB2312" w:eastAsia="仿宋_GB2312" w:cs="仿宋_GB2312"/>
                <w:color w:val="000000"/>
                <w:sz w:val="20"/>
                <w:szCs w:val="20"/>
              </w:rPr>
              <w:t>取得医师资格者优先</w:t>
            </w:r>
          </w:p>
        </w:tc>
      </w:tr>
      <w:tr>
        <w:tblPrEx>
          <w:tblLayout w:type="fixed"/>
          <w:tblCellMar>
            <w:top w:w="15" w:type="dxa"/>
            <w:left w:w="15" w:type="dxa"/>
            <w:bottom w:w="15" w:type="dxa"/>
            <w:right w:w="15" w:type="dxa"/>
          </w:tblCellMar>
        </w:tblPrEx>
        <w:trPr>
          <w:trHeight w:val="540"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2</w:t>
            </w:r>
          </w:p>
        </w:tc>
        <w:tc>
          <w:tcPr>
            <w:tcW w:w="14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B</w:t>
            </w:r>
            <w:r>
              <w:rPr>
                <w:rFonts w:hint="eastAsia" w:ascii="仿宋_GB2312" w:hAnsi="仿宋_GB2312" w:eastAsia="仿宋_GB2312" w:cs="仿宋_GB2312"/>
                <w:color w:val="000000"/>
                <w:kern w:val="0"/>
                <w:sz w:val="20"/>
                <w:szCs w:val="20"/>
              </w:rPr>
              <w:t>超诊断医师</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医学影像学或临床医学</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304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有工作经验，</w:t>
            </w:r>
            <w:r>
              <w:rPr>
                <w:rFonts w:hint="eastAsia" w:ascii="仿宋_GB2312" w:hAnsi="仿宋_GB2312" w:eastAsia="仿宋_GB2312" w:cs="仿宋_GB2312"/>
                <w:color w:val="000000"/>
                <w:sz w:val="20"/>
                <w:szCs w:val="20"/>
              </w:rPr>
              <w:t>取得医师资格者优先</w:t>
            </w:r>
          </w:p>
        </w:tc>
      </w:tr>
      <w:tr>
        <w:tblPrEx>
          <w:tblLayout w:type="fixed"/>
          <w:tblCellMar>
            <w:top w:w="15" w:type="dxa"/>
            <w:left w:w="15" w:type="dxa"/>
            <w:bottom w:w="15" w:type="dxa"/>
            <w:right w:w="15" w:type="dxa"/>
          </w:tblCellMar>
        </w:tblPrEx>
        <w:trPr>
          <w:trHeight w:val="540"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468"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麻醉医师</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麻醉学或临床医学</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有工作经验，</w:t>
            </w:r>
            <w:r>
              <w:rPr>
                <w:rFonts w:hint="eastAsia" w:ascii="仿宋_GB2312" w:hAnsi="仿宋_GB2312" w:eastAsia="仿宋_GB2312" w:cs="仿宋_GB2312"/>
                <w:color w:val="000000"/>
                <w:sz w:val="20"/>
                <w:szCs w:val="20"/>
              </w:rPr>
              <w:t>取得医师资格者优先</w:t>
            </w:r>
          </w:p>
        </w:tc>
      </w:tr>
      <w:tr>
        <w:tblPrEx>
          <w:tblLayout w:type="fixed"/>
          <w:tblCellMar>
            <w:top w:w="15" w:type="dxa"/>
            <w:left w:w="15" w:type="dxa"/>
            <w:bottom w:w="15" w:type="dxa"/>
            <w:right w:w="15" w:type="dxa"/>
          </w:tblCellMar>
        </w:tblPrEx>
        <w:trPr>
          <w:trHeight w:val="540" w:hRule="atLeast"/>
        </w:trPr>
        <w:tc>
          <w:tcPr>
            <w:tcW w:w="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68" w:type="dxa"/>
            <w:tcBorders>
              <w:top w:val="single" w:color="000000" w:sz="4" w:space="0"/>
              <w:left w:val="single" w:color="000000" w:sz="4" w:space="0"/>
              <w:bottom w:val="single" w:color="000000" w:sz="4" w:space="0"/>
              <w:right w:val="single" w:color="000000" w:sz="4" w:space="0"/>
            </w:tcBorders>
          </w:tcPr>
          <w:p>
            <w:pPr>
              <w:widowControl/>
              <w:jc w:val="center"/>
              <w:textAlignment w:val="top"/>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康复科医师</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p>
        </w:tc>
        <w:tc>
          <w:tcPr>
            <w:tcW w:w="1844" w:type="dxa"/>
            <w:tcBorders>
              <w:top w:val="single" w:color="000000" w:sz="4" w:space="0"/>
              <w:left w:val="single" w:color="000000" w:sz="4" w:space="0"/>
              <w:bottom w:val="single" w:color="000000" w:sz="4" w:space="0"/>
              <w:right w:val="single" w:color="000000" w:sz="4" w:space="0"/>
            </w:tcBorders>
            <w:vAlign w:val="center"/>
          </w:tcPr>
          <w:p>
            <w:pPr>
              <w:widowControl/>
              <w:ind w:firstLine="800" w:firstLineChars="400"/>
              <w:jc w:val="both"/>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5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不限</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针炙推拿学</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3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有工作经验，</w:t>
            </w:r>
            <w:r>
              <w:rPr>
                <w:rFonts w:hint="eastAsia" w:ascii="仿宋_GB2312" w:hAnsi="仿宋_GB2312" w:eastAsia="仿宋_GB2312" w:cs="仿宋_GB2312"/>
                <w:color w:val="000000"/>
                <w:sz w:val="20"/>
                <w:szCs w:val="20"/>
              </w:rPr>
              <w:t>取得医师资格者优先</w:t>
            </w:r>
          </w:p>
        </w:tc>
      </w:tr>
    </w:tbl>
    <w:p>
      <w:pPr>
        <w:spacing w:line="360" w:lineRule="auto"/>
        <w:rPr>
          <w:rFonts w:ascii="仿宋_GB2312" w:hAnsi="仿宋_GB2312" w:eastAsia="仿宋_GB2312" w:cs="仿宋_GB2312"/>
          <w:color w:val="000000"/>
          <w:kern w:val="0"/>
          <w:sz w:val="20"/>
          <w:szCs w:val="20"/>
        </w:rPr>
      </w:pPr>
    </w:p>
    <w:p>
      <w:pPr>
        <w:spacing w:line="360" w:lineRule="auto"/>
        <w:rPr>
          <w:rFonts w:ascii="仿宋_GB2312" w:hAnsi="仿宋_GB2312" w:eastAsia="仿宋_GB2312" w:cs="仿宋_GB2312"/>
          <w:color w:val="000000"/>
          <w:kern w:val="0"/>
          <w:sz w:val="24"/>
          <w:szCs w:val="24"/>
        </w:rPr>
      </w:pPr>
    </w:p>
    <w:p>
      <w:pPr>
        <w:spacing w:line="360" w:lineRule="auto"/>
        <w:rPr>
          <w:rFonts w:hint="eastAsia" w:ascii="仿宋_GB2312" w:hAnsi="仿宋_GB2312" w:eastAsia="仿宋_GB2312" w:cs="仿宋_GB2312"/>
          <w:color w:val="000000"/>
          <w:kern w:val="0"/>
          <w:sz w:val="24"/>
          <w:szCs w:val="24"/>
        </w:rPr>
      </w:pPr>
    </w:p>
    <w:tbl>
      <w:tblPr>
        <w:tblStyle w:val="11"/>
        <w:tblpPr w:leftFromText="180" w:rightFromText="180" w:vertAnchor="text" w:horzAnchor="page" w:tblpX="851" w:tblpY="261"/>
        <w:tblOverlap w:val="never"/>
        <w:tblW w:w="54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 w:hRule="atLeast"/>
        </w:trPr>
        <w:tc>
          <w:tcPr>
            <w:tcW w:w="5457"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妇幼保健院岗位需求：19个</w:t>
            </w:r>
          </w:p>
        </w:tc>
      </w:tr>
    </w:tbl>
    <w:p>
      <w:pPr>
        <w:spacing w:line="360" w:lineRule="auto"/>
        <w:rPr>
          <w:rFonts w:ascii="仿宋_GB2312" w:hAnsi="仿宋_GB2312" w:eastAsia="仿宋_GB2312" w:cs="仿宋_GB2312"/>
          <w:color w:val="000000"/>
          <w:kern w:val="0"/>
          <w:sz w:val="24"/>
          <w:szCs w:val="24"/>
        </w:rPr>
      </w:pPr>
    </w:p>
    <w:tbl>
      <w:tblPr>
        <w:tblStyle w:val="11"/>
        <w:tblpPr w:leftFromText="180" w:rightFromText="180" w:vertAnchor="text" w:horzAnchor="page" w:tblpX="851" w:tblpY="261"/>
        <w:tblOverlap w:val="never"/>
        <w:tblW w:w="14775" w:type="dxa"/>
        <w:tblInd w:w="0" w:type="dxa"/>
        <w:tblLayout w:type="fixed"/>
        <w:tblCellMar>
          <w:top w:w="15" w:type="dxa"/>
          <w:left w:w="15" w:type="dxa"/>
          <w:bottom w:w="15" w:type="dxa"/>
          <w:right w:w="15" w:type="dxa"/>
        </w:tblCellMar>
      </w:tblPr>
      <w:tblGrid>
        <w:gridCol w:w="1137"/>
        <w:gridCol w:w="1575"/>
        <w:gridCol w:w="457"/>
        <w:gridCol w:w="1526"/>
        <w:gridCol w:w="540"/>
        <w:gridCol w:w="1620"/>
        <w:gridCol w:w="1800"/>
        <w:gridCol w:w="2340"/>
        <w:gridCol w:w="1080"/>
        <w:gridCol w:w="2700"/>
      </w:tblGrid>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kern w:val="0"/>
                <w:sz w:val="20"/>
                <w:szCs w:val="20"/>
              </w:rPr>
              <w:t>儿科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2</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w:t>
            </w:r>
            <w:r>
              <w:rPr>
                <w:rFonts w:hint="eastAsia" w:ascii="仿宋_GB2312" w:hAnsi="仿宋_GB2312" w:eastAsia="仿宋_GB2312" w:cs="仿宋_GB2312"/>
                <w:color w:val="000000"/>
                <w:kern w:val="0"/>
                <w:sz w:val="20"/>
                <w:szCs w:val="20"/>
                <w:lang w:eastAsia="zh-CN"/>
              </w:rPr>
              <w:t>及</w:t>
            </w:r>
            <w:r>
              <w:rPr>
                <w:rFonts w:hint="eastAsia" w:ascii="仿宋_GB2312" w:hAnsi="仿宋_GB2312" w:eastAsia="仿宋_GB2312" w:cs="仿宋_GB2312"/>
                <w:color w:val="000000"/>
                <w:kern w:val="0"/>
                <w:sz w:val="20"/>
                <w:szCs w:val="20"/>
              </w:rPr>
              <w:t>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取得儿科主治医师职称，学历可放宽至大专，年龄可放宽至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儿童保健科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2</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康复医学或临床医学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取得儿科主治医师职称，学历可放宽至大专，年龄可放宽至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1205"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3</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新生儿科医师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1</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不</w:t>
            </w:r>
            <w:bookmarkStart w:id="0" w:name="_GoBack"/>
            <w:bookmarkEnd w:id="0"/>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具有执业医师资格优先，</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取得儿科主治医师职称，学历可放宽至大专，年龄可放宽至</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妇产科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取得妇产科主治医师职称，学历可放宽至大专，年龄可放宽至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麻醉科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麻醉学或临床医学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取得麻醉科主治医师职称，学历可放宽至大专，年龄可放宽至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B超科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医学影像学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，取得医学影像学主治医师职称，学历可放宽至大专，年龄可放宽至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内科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kern w:val="0"/>
                <w:sz w:val="20"/>
                <w:szCs w:val="20"/>
              </w:rPr>
              <w:t>1</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取得普通内科主治医师职称，学历可放宽至大专，年龄可放宽至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皮肤科</w:t>
            </w:r>
            <w:r>
              <w:rPr>
                <w:rFonts w:hint="eastAsia" w:ascii="仿宋_GB2312" w:hAnsi="仿宋_GB2312" w:eastAsia="仿宋_GB2312" w:cs="仿宋_GB2312"/>
                <w:color w:val="000000"/>
                <w:kern w:val="0"/>
                <w:sz w:val="20"/>
                <w:szCs w:val="20"/>
                <w:lang w:eastAsia="zh-CN"/>
              </w:rPr>
              <w:t>医师</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临床医学</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具有执业医师资格优先，</w:t>
            </w:r>
            <w:r>
              <w:rPr>
                <w:rFonts w:hint="eastAsia" w:ascii="仿宋_GB2312" w:hAnsi="仿宋_GB2312" w:eastAsia="仿宋_GB2312" w:cs="仿宋_GB2312"/>
                <w:color w:val="000000"/>
                <w:kern w:val="0"/>
                <w:sz w:val="20"/>
                <w:szCs w:val="20"/>
                <w:lang w:eastAsia="zh-CN"/>
              </w:rPr>
              <w:t>取得皮肤与性病主治医师职称，学历可放宽至大专，年龄可放宽至</w:t>
            </w:r>
            <w:r>
              <w:rPr>
                <w:rFonts w:hint="eastAsia" w:ascii="仿宋_GB2312" w:hAnsi="仿宋_GB2312" w:eastAsia="仿宋_GB2312" w:cs="仿宋_GB2312"/>
                <w:color w:val="000000"/>
                <w:kern w:val="0"/>
                <w:sz w:val="20"/>
                <w:szCs w:val="20"/>
                <w:lang w:val="en-US" w:eastAsia="zh-CN"/>
              </w:rPr>
              <w:t>40周岁</w:t>
            </w:r>
          </w:p>
        </w:tc>
      </w:tr>
      <w:tr>
        <w:tblPrEx>
          <w:tblLayout w:type="fixed"/>
          <w:tblCellMar>
            <w:top w:w="15" w:type="dxa"/>
            <w:left w:w="15" w:type="dxa"/>
            <w:bottom w:w="15" w:type="dxa"/>
            <w:right w:w="15" w:type="dxa"/>
          </w:tblCellMar>
        </w:tblPrEx>
        <w:trPr>
          <w:trHeight w:val="720" w:hRule="atLeast"/>
        </w:trPr>
        <w:tc>
          <w:tcPr>
            <w:tcW w:w="11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基层指导科人员</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不限</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不限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公共卫生管理</w:t>
            </w:r>
          </w:p>
        </w:tc>
        <w:tc>
          <w:tcPr>
            <w:tcW w:w="23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全日制普通高等院校毕业大学本科以上</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35周岁以下</w:t>
            </w:r>
          </w:p>
        </w:tc>
        <w:tc>
          <w:tcPr>
            <w:tcW w:w="2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0"/>
                <w:szCs w:val="20"/>
              </w:rPr>
            </w:pPr>
          </w:p>
        </w:tc>
      </w:tr>
      <w:tr>
        <w:tblPrEx>
          <w:tblLayout w:type="fixed"/>
          <w:tblCellMar>
            <w:top w:w="15" w:type="dxa"/>
            <w:left w:w="15" w:type="dxa"/>
            <w:bottom w:w="15" w:type="dxa"/>
            <w:right w:w="15" w:type="dxa"/>
          </w:tblCellMar>
        </w:tblPrEx>
        <w:trPr>
          <w:gridAfter w:val="6"/>
          <w:wAfter w:w="10080" w:type="dxa"/>
          <w:trHeight w:val="570" w:hRule="atLeast"/>
        </w:trPr>
        <w:tc>
          <w:tcPr>
            <w:tcW w:w="4695" w:type="dxa"/>
            <w:gridSpan w:val="4"/>
            <w:tcBorders>
              <w:top w:val="single" w:color="000000" w:sz="4" w:space="0"/>
            </w:tcBorders>
            <w:vAlign w:val="center"/>
          </w:tcPr>
          <w:p>
            <w:pPr>
              <w:widowControl/>
              <w:jc w:val="left"/>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8"/>
                <w:szCs w:val="28"/>
              </w:rPr>
              <w:t>合计岗位需求：</w:t>
            </w:r>
            <w:r>
              <w:rPr>
                <w:rFonts w:ascii="仿宋_GB2312" w:hAnsi="仿宋_GB2312" w:eastAsia="仿宋_GB2312" w:cs="仿宋_GB2312"/>
                <w:b/>
                <w:color w:val="000000"/>
                <w:kern w:val="0"/>
                <w:sz w:val="28"/>
                <w:szCs w:val="28"/>
              </w:rPr>
              <w:t>62</w:t>
            </w:r>
            <w:r>
              <w:rPr>
                <w:rFonts w:hint="eastAsia" w:ascii="仿宋_GB2312" w:hAnsi="仿宋_GB2312" w:eastAsia="仿宋_GB2312" w:cs="仿宋_GB2312"/>
                <w:b/>
                <w:color w:val="000000"/>
                <w:kern w:val="0"/>
                <w:sz w:val="28"/>
                <w:szCs w:val="28"/>
              </w:rPr>
              <w:t>人</w:t>
            </w:r>
          </w:p>
        </w:tc>
      </w:tr>
    </w:tbl>
    <w:p>
      <w:pPr>
        <w:spacing w:line="360" w:lineRule="auto"/>
        <w:rPr>
          <w:rFonts w:ascii="宋体" w:cs="宋体"/>
          <w:color w:val="000000"/>
          <w:kern w:val="0"/>
          <w:sz w:val="22"/>
        </w:rPr>
      </w:pPr>
    </w:p>
    <w:sectPr>
      <w:headerReference r:id="rId3" w:type="default"/>
      <w:footerReference r:id="rId4"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仿宋_GB2312" w:hAnsi="仿宋_GB2312" w:eastAsia="仿宋_GB2312" w:cs="仿宋_GB2312"/>
        <w:sz w:val="32"/>
        <w:szCs w:val="32"/>
        <w:vertAlign w:val="subscript"/>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D9"/>
    <w:rsid w:val="0003482D"/>
    <w:rsid w:val="00043A5E"/>
    <w:rsid w:val="00066880"/>
    <w:rsid w:val="00080DC5"/>
    <w:rsid w:val="00105BF0"/>
    <w:rsid w:val="00123173"/>
    <w:rsid w:val="00123D22"/>
    <w:rsid w:val="00131350"/>
    <w:rsid w:val="001407FA"/>
    <w:rsid w:val="00145741"/>
    <w:rsid w:val="001962B9"/>
    <w:rsid w:val="001A0824"/>
    <w:rsid w:val="001A5BB6"/>
    <w:rsid w:val="001B0CAD"/>
    <w:rsid w:val="00225E99"/>
    <w:rsid w:val="00232A0E"/>
    <w:rsid w:val="00233B9C"/>
    <w:rsid w:val="00237C9C"/>
    <w:rsid w:val="0027310F"/>
    <w:rsid w:val="00294791"/>
    <w:rsid w:val="002E2ADE"/>
    <w:rsid w:val="00324F14"/>
    <w:rsid w:val="003649D6"/>
    <w:rsid w:val="0037633D"/>
    <w:rsid w:val="003A5C2E"/>
    <w:rsid w:val="003A722E"/>
    <w:rsid w:val="003B59B8"/>
    <w:rsid w:val="003E1B19"/>
    <w:rsid w:val="003E6D32"/>
    <w:rsid w:val="003F5CC1"/>
    <w:rsid w:val="004079D2"/>
    <w:rsid w:val="004551FB"/>
    <w:rsid w:val="004864D7"/>
    <w:rsid w:val="0049233D"/>
    <w:rsid w:val="004E643D"/>
    <w:rsid w:val="004E71B5"/>
    <w:rsid w:val="004F1520"/>
    <w:rsid w:val="005008F8"/>
    <w:rsid w:val="00544079"/>
    <w:rsid w:val="00546CD1"/>
    <w:rsid w:val="0058419C"/>
    <w:rsid w:val="005B5B36"/>
    <w:rsid w:val="00647C35"/>
    <w:rsid w:val="00660CBA"/>
    <w:rsid w:val="006632E2"/>
    <w:rsid w:val="00676A04"/>
    <w:rsid w:val="006A349E"/>
    <w:rsid w:val="006D508E"/>
    <w:rsid w:val="006E6346"/>
    <w:rsid w:val="006E66EA"/>
    <w:rsid w:val="00711BE9"/>
    <w:rsid w:val="0072495E"/>
    <w:rsid w:val="0073100F"/>
    <w:rsid w:val="00741CBB"/>
    <w:rsid w:val="00743175"/>
    <w:rsid w:val="00757895"/>
    <w:rsid w:val="00757A6C"/>
    <w:rsid w:val="00761CAD"/>
    <w:rsid w:val="00765A14"/>
    <w:rsid w:val="00772F53"/>
    <w:rsid w:val="007B60F4"/>
    <w:rsid w:val="007C5DE8"/>
    <w:rsid w:val="00862550"/>
    <w:rsid w:val="0088079F"/>
    <w:rsid w:val="00895B93"/>
    <w:rsid w:val="008E29F4"/>
    <w:rsid w:val="00926A6D"/>
    <w:rsid w:val="00981A37"/>
    <w:rsid w:val="009C3158"/>
    <w:rsid w:val="009C4E2B"/>
    <w:rsid w:val="009F0A38"/>
    <w:rsid w:val="00A07C1A"/>
    <w:rsid w:val="00A40D85"/>
    <w:rsid w:val="00A617C1"/>
    <w:rsid w:val="00A72B46"/>
    <w:rsid w:val="00A9016B"/>
    <w:rsid w:val="00AB2B80"/>
    <w:rsid w:val="00AC3C84"/>
    <w:rsid w:val="00AF01B7"/>
    <w:rsid w:val="00AF431A"/>
    <w:rsid w:val="00B065C6"/>
    <w:rsid w:val="00B33347"/>
    <w:rsid w:val="00B429E5"/>
    <w:rsid w:val="00B66618"/>
    <w:rsid w:val="00B758D9"/>
    <w:rsid w:val="00BB5305"/>
    <w:rsid w:val="00BD13A3"/>
    <w:rsid w:val="00BE06F1"/>
    <w:rsid w:val="00BE2259"/>
    <w:rsid w:val="00BF76F9"/>
    <w:rsid w:val="00C036EF"/>
    <w:rsid w:val="00C47766"/>
    <w:rsid w:val="00C7206E"/>
    <w:rsid w:val="00CA06D0"/>
    <w:rsid w:val="00CA3D9D"/>
    <w:rsid w:val="00CB610E"/>
    <w:rsid w:val="00CC6AA0"/>
    <w:rsid w:val="00CD4E99"/>
    <w:rsid w:val="00CF3FBF"/>
    <w:rsid w:val="00D20F38"/>
    <w:rsid w:val="00D22AA8"/>
    <w:rsid w:val="00DD4247"/>
    <w:rsid w:val="00DE5750"/>
    <w:rsid w:val="00E01C4A"/>
    <w:rsid w:val="00E25BE4"/>
    <w:rsid w:val="00E33DC6"/>
    <w:rsid w:val="00E54C1A"/>
    <w:rsid w:val="00E74BDE"/>
    <w:rsid w:val="00E845F1"/>
    <w:rsid w:val="00EC2592"/>
    <w:rsid w:val="00EC608C"/>
    <w:rsid w:val="00F049E7"/>
    <w:rsid w:val="00F42BCE"/>
    <w:rsid w:val="00F7229C"/>
    <w:rsid w:val="00F812B2"/>
    <w:rsid w:val="00FA2F37"/>
    <w:rsid w:val="00FA76C2"/>
    <w:rsid w:val="00FF1986"/>
    <w:rsid w:val="00FF3B6C"/>
    <w:rsid w:val="053A2EDF"/>
    <w:rsid w:val="0CAC67D3"/>
    <w:rsid w:val="0E7A24E6"/>
    <w:rsid w:val="10B13CB4"/>
    <w:rsid w:val="11FB03E0"/>
    <w:rsid w:val="12652FCD"/>
    <w:rsid w:val="16DF586B"/>
    <w:rsid w:val="2BEB08C2"/>
    <w:rsid w:val="2EBE16D0"/>
    <w:rsid w:val="32360AA6"/>
    <w:rsid w:val="383E2528"/>
    <w:rsid w:val="3C61063B"/>
    <w:rsid w:val="3D025133"/>
    <w:rsid w:val="3ECC55C5"/>
    <w:rsid w:val="3FCC5797"/>
    <w:rsid w:val="44516CA2"/>
    <w:rsid w:val="48761133"/>
    <w:rsid w:val="49A72964"/>
    <w:rsid w:val="4AD12925"/>
    <w:rsid w:val="5CF80BEB"/>
    <w:rsid w:val="60092106"/>
    <w:rsid w:val="601B3490"/>
    <w:rsid w:val="60F16A0D"/>
    <w:rsid w:val="640835C0"/>
    <w:rsid w:val="6BE21BCA"/>
    <w:rsid w:val="6D743E0B"/>
    <w:rsid w:val="72407334"/>
    <w:rsid w:val="764D5C6D"/>
    <w:rsid w:val="77BD687A"/>
    <w:rsid w:val="7A0D2899"/>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qFormat/>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semiHidden/>
    <w:qFormat/>
    <w:uiPriority w:val="99"/>
    <w:rPr>
      <w:rFonts w:cs="Times New Roman"/>
      <w:color w:val="0000FF"/>
      <w:u w:val="single"/>
    </w:rPr>
  </w:style>
  <w:style w:type="character" w:customStyle="1" w:styleId="12">
    <w:name w:val="Heading 1 Char"/>
    <w:basedOn w:val="8"/>
    <w:link w:val="2"/>
    <w:qFormat/>
    <w:locked/>
    <w:uiPriority w:val="99"/>
    <w:rPr>
      <w:rFonts w:ascii="宋体" w:hAnsi="宋体" w:eastAsia="宋体" w:cs="宋体"/>
      <w:b/>
      <w:bCs/>
      <w:kern w:val="36"/>
      <w:sz w:val="48"/>
      <w:szCs w:val="48"/>
    </w:rPr>
  </w:style>
  <w:style w:type="character" w:customStyle="1" w:styleId="13">
    <w:name w:val="Date Char"/>
    <w:basedOn w:val="8"/>
    <w:link w:val="3"/>
    <w:semiHidden/>
    <w:qFormat/>
    <w:locked/>
    <w:uiPriority w:val="99"/>
    <w:rPr>
      <w:rFonts w:cs="Times New Roman"/>
    </w:rPr>
  </w:style>
  <w:style w:type="character" w:customStyle="1" w:styleId="14">
    <w:name w:val="Balloon Text Char"/>
    <w:basedOn w:val="8"/>
    <w:link w:val="4"/>
    <w:semiHidden/>
    <w:qFormat/>
    <w:locked/>
    <w:uiPriority w:val="99"/>
    <w:rPr>
      <w:rFonts w:cs="Times New Roman"/>
      <w:sz w:val="2"/>
    </w:rPr>
  </w:style>
  <w:style w:type="character" w:customStyle="1" w:styleId="15">
    <w:name w:val="Footer Char"/>
    <w:basedOn w:val="8"/>
    <w:link w:val="5"/>
    <w:qFormat/>
    <w:locked/>
    <w:uiPriority w:val="99"/>
    <w:rPr>
      <w:rFonts w:cs="Times New Roman"/>
      <w:sz w:val="18"/>
      <w:szCs w:val="18"/>
    </w:rPr>
  </w:style>
  <w:style w:type="character" w:customStyle="1" w:styleId="16">
    <w:name w:val="Header Char"/>
    <w:basedOn w:val="8"/>
    <w:link w:val="6"/>
    <w:semiHidden/>
    <w:qFormat/>
    <w:locked/>
    <w:uiPriority w:val="99"/>
    <w:rPr>
      <w:rFonts w:cs="Times New Roman"/>
      <w:sz w:val="18"/>
      <w:szCs w:val="18"/>
    </w:rPr>
  </w:style>
  <w:style w:type="character" w:customStyle="1" w:styleId="17">
    <w:name w:val="text-size"/>
    <w:basedOn w:val="8"/>
    <w:qFormat/>
    <w:uiPriority w:val="99"/>
    <w:rPr>
      <w:rFonts w:cs="Times New Roman"/>
    </w:rPr>
  </w:style>
  <w:style w:type="character" w:customStyle="1" w:styleId="18">
    <w:name w:val="apple-converted-space"/>
    <w:basedOn w:val="8"/>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10</Pages>
  <Words>741</Words>
  <Characters>4228</Characters>
  <Lines>0</Lines>
  <Paragraphs>0</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2017-03-14T09:06:00Z</dcterms:created>
  <dc:creator>Sky123.Org</dc:creator>
  <cp:lastModifiedBy>李佳佳</cp:lastModifiedBy>
  <cp:lastPrinted>2018-11-08T02:16:00Z</cp:lastPrinted>
  <dcterms:modified xsi:type="dcterms:W3CDTF">2018-12-11T04:08:54Z</dcterms:modified>
  <dc:title>陵水黎族自治县</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