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26" w:lineRule="atLeast"/>
      </w:pPr>
      <w:r>
        <w:rPr>
          <w:rFonts w:ascii="Arial" w:hAnsi="Arial" w:cs="Arial"/>
          <w:color w:val="545454"/>
          <w:sz w:val="20"/>
          <w:szCs w:val="20"/>
        </w:rPr>
        <w:t>待遇条件</w:t>
      </w:r>
    </w:p>
    <w:tbl>
      <w:tblPr>
        <w:tblW w:w="7288" w:type="dxa"/>
        <w:jc w:val="center"/>
        <w:tblInd w:w="6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2041"/>
        <w:gridCol w:w="1302"/>
        <w:gridCol w:w="2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岗位</w:t>
            </w:r>
          </w:p>
        </w:tc>
        <w:tc>
          <w:tcPr>
            <w:tcW w:w="2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科研启动费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（万元）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安家费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（万元）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租房补贴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（元/月）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教授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理工20，人文10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7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4500；发3年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副教授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理工15，人文8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5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4000；发3年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讲师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理工10，人文5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3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3500；发3年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师资博士后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　　入站科研启动费1万元，轮候周转房或发放租房补贴1200元/月，在站工资参照讲师二级岗的标准执行。出站入职后，工资待遇、科研启动费与一次性安家费按受聘岗位标准执行。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F428B"/>
    <w:rsid w:val="450F4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2018-11-12T07:51:00Z</dcterms:created>
  <dc:creator>ASUS</dc:creator>
  <cp:lastModifiedBy>ASUS</cp:lastModifiedBy>
  <dcterms:modified xsi:type="dcterms:W3CDTF">2018-11-12T07:51:20Z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