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Tahoma" w:eastAsia="黑体" w:cs="宋体"/>
          <w:kern w:val="0"/>
          <w:sz w:val="36"/>
          <w:szCs w:val="36"/>
        </w:rPr>
      </w:pPr>
      <w:r>
        <w:rPr>
          <w:rFonts w:hint="eastAsia" w:ascii="黑体" w:hAnsi="Tahoma" w:eastAsia="黑体" w:cs="宋体"/>
          <w:kern w:val="0"/>
          <w:sz w:val="36"/>
          <w:szCs w:val="36"/>
        </w:rPr>
        <w:t>2018年</w:t>
      </w:r>
      <w:r>
        <w:rPr>
          <w:rFonts w:hint="eastAsia" w:ascii="黑体" w:hAnsi="Tahoma" w:eastAsia="黑体" w:cs="宋体"/>
          <w:kern w:val="0"/>
          <w:sz w:val="36"/>
          <w:szCs w:val="36"/>
          <w:lang w:eastAsia="zh-CN"/>
        </w:rPr>
        <w:t>下</w:t>
      </w:r>
      <w:r>
        <w:rPr>
          <w:rFonts w:hint="eastAsia" w:ascii="黑体" w:hAnsi="Tahoma" w:eastAsia="黑体" w:cs="宋体"/>
          <w:kern w:val="0"/>
          <w:sz w:val="36"/>
          <w:szCs w:val="36"/>
        </w:rPr>
        <w:t>半年安吉县机关事业单位面向社会公开招聘编外工作人员计划表</w:t>
      </w:r>
    </w:p>
    <w:tbl>
      <w:tblPr>
        <w:tblStyle w:val="3"/>
        <w:tblpPr w:leftFromText="180" w:rightFromText="180" w:vertAnchor="text" w:horzAnchor="page" w:tblpX="1213" w:tblpY="159"/>
        <w:tblOverlap w:val="never"/>
        <w:tblW w:w="15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68"/>
        <w:gridCol w:w="1525"/>
        <w:gridCol w:w="1560"/>
        <w:gridCol w:w="824"/>
        <w:gridCol w:w="735"/>
        <w:gridCol w:w="1418"/>
        <w:gridCol w:w="3685"/>
        <w:gridCol w:w="198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主管部门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招聘岗位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招聘人数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学历要求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所需专业要求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县信访局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12345政府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阳光热线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后台管理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0572-5123297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县档案局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档案管理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计算机应用技术、软件技术、计算机网络技术、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计算机科学与技术、软件工程、网络工程、档案学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0572-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5323223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县工商联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会员科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法学、经济学、工商管理、行政管理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经常外出，适合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男性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2年及以上工作经验。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0572-5123836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县残联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0572-5123141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残疾人康复指导中心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（残疾人托养中心）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县经信委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本级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文员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汉语言文学、汉语言、政治学、经济学与哲学、政治学与行政学、国际政治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0572-5123564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科工作人员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电子信息工程、通信工程、信息工程、计算机科学与技术、软件工程、网络工程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县发改委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全日制本科及以上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经济学、经济统计学、国际经济与贸易、国民经济管理、资源与环境经济学、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能源经济、信用管理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0572-5123537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  <w:t>县民政局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  <w:t>婚姻登记处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  <w:t>管理岗位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全日制本科及以上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法学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、行政管理、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秘书学、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汉语言文学、汉语言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0572-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5123376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  <w:t>县殡仪馆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  <w:t>殡仪服务员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高中及以上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岗位特殊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，年龄在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  <w:t>40周岁以下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，适合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  <w:t>男性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县人力社保局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县社会保险管理局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窗口服务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0572-5123463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窗口服务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财务管理、会计学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县国土局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县不动产登记中心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外业调查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能熟练操作计算机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5028343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监察大队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土地执法协管员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基层执法协助工作，具有一定法律知识，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适合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男性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县交通局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县公路管理局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路政协管员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有2年及以上工作经验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一线外业工作，适合男性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0572-52206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道路桥梁工程技术、土木工程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桥梁工程师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道路桥梁工程技术、土木工程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有2年及以上从事有关桥梁工作的经验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农业局</w:t>
            </w:r>
          </w:p>
        </w:tc>
        <w:tc>
          <w:tcPr>
            <w:tcW w:w="1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县畜牧兽医局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畜牧兽医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畜牧兽医、畜牧、饲料与动物营养、兽医、兽医医药、动物防疫与检疫、兽药生产与营销、动物医学、动物科学与技术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工作地点为检查站和屠宰场，需要上夜班，适合男性。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0572-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5123430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县林业局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县林业技术推广中心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办公室后勤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行政管理、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公共事务管理、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文秘、汉语言文学、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公共事业管理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0572-5038960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信息技术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计算机应用技术、计算机网络技术、计算机信息管理、计算机系统维护、网络系统管理、电子声像技术、信息安全技术、信息技术应用、数字媒体技术、电子信息工程、通信工程、电子科学与技术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男性。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信息技术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计算机应用技术、计算机网络技术、计算机信息管理、计算机系统维护、网络系统管理、电子声像技术、信息安全技术、信息技术应用、数字媒体技术、电子信息工程、通信工程、电子科学与技术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性别不限。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龙王山自然保护区管理处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办公室后勤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高中及以上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实际驾龄要求5年及以上且具有山区驾驶经验；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2、因工作地点特殊，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年龄在4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周岁以下。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县文广新局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县文物局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讲解员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</w:rPr>
              <w:t>大专及以上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5223185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吴昌硕纪念馆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讲解员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县环保局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环境岗位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环境监测与治理技术、环境监测与评价、生物技术及应用、环境科学、环境工程、环境科学与工程、环境监察、生物技术、生物科学、生物科学与生物技术、生态学、化学工程与工艺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男性。</w:t>
            </w:r>
          </w:p>
        </w:tc>
        <w:tc>
          <w:tcPr>
            <w:tcW w:w="15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0572-5137687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环境岗位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环境监测与治理技术、环境监测与评价、生物技术及应用、环境科学、环境工程、环境科学与工程、环境监察、生物技术、生物科学、生物科学与生物技术、生态学、化学工程与工艺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性别不限。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财务管理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会计、会计学、财务会计教育、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财务管理、审计学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县市场监管局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窗口登记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5225427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文员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县体育局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游泳教练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运动训练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从事游泳教练工作1年及以上；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2、采用个人技能测试、带训相结合方式进行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（即笔试、面试）。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0572-5129812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县矿资办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矿山管理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需长期野外作业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适合男性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5325132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递铺街道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财务人员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会计学、财务管理、审计学、金融学、统计学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具有一定融资工作经验。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0572-5105197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昌硕街道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三资管理中心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财务管理、会计电算化、会计学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有2年及以上工作经验；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2、持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有会计从业资格证书。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0572-5300097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文化站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音乐表演、舞蹈表演 、播音与主持艺术、音乐学、 舞蹈学、 舞蹈编导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灵峰街道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安全监督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需要经常外出，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适合男性。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0572-5339826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梅溪镇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综合管理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5681161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章村镇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便民服务大厅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0572-5727163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党政办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孝丰镇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经济发展服务中心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经济学、经济管理、国际经济与贸易、国际贸易实务、国际商务、国际金融、金融学、金融管理与实务、工商行政管理、工商管理、市场营销、国际商务、文化产业管理、商务管理、招商管理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及以上工作经验；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因工作需要长期出差，适合男性。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0572-5051606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报福镇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财务管理、财务信息管理、会计、会计电算化、会计与统计核算、会计与审计、审计实务、会计学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持有会计从业资格证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0572-5077848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经济运行统计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财务管理、财务信息管理、会计、会计电算化、会计与统计核算、会计与审计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鄣吴镇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农业技术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设施农业技术、园艺技术、植物保护、植物检疫、林业技术、园林技术、森林资源保护、野生植物资源开发与利用、野生动物保护、自然保护区建设与管理、森林生态旅游、林产化工技术、森林采运工程、森林工程技术、农业经济管理、林业经济信息管理、农业技术与管理、农村行政与经济管理、环境监测与治理技术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农业工程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农业机械化及其自动化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农业电气化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农业建筑环境与能源工程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农业水利工程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、森林工程、木材科学与工程、林产化工、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农学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园艺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植物保护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植物科学与技术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种子科学与工程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设施农业科学与工程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农业资源与环境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野生动物与自然保护区管理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水土保持与荒漠化防治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林学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园林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森林保护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因工作性质需要，经常从事野外工作，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适合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男性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0572-5105005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文秘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行政管理、汉语、文秘、语文教育、思想政治教育、综合文科教育、新闻采编与制作、新闻与传播、政治学与行政学、汉语言文学、汉语言、汉语国际教育、古典文献学、华文教育、应用语言学、秘书学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具有一定的文字功底。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44DCE"/>
    <w:multiLevelType w:val="singleLevel"/>
    <w:tmpl w:val="90E44DC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9A6BC91"/>
    <w:multiLevelType w:val="singleLevel"/>
    <w:tmpl w:val="29A6BC9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C9C57F5"/>
    <w:multiLevelType w:val="singleLevel"/>
    <w:tmpl w:val="6C9C57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26EE3"/>
    <w:rsid w:val="01A62732"/>
    <w:rsid w:val="02474C03"/>
    <w:rsid w:val="034B2B8E"/>
    <w:rsid w:val="03AD596B"/>
    <w:rsid w:val="03DB29A9"/>
    <w:rsid w:val="05E543C1"/>
    <w:rsid w:val="05FE2DE9"/>
    <w:rsid w:val="07485B28"/>
    <w:rsid w:val="08E711F0"/>
    <w:rsid w:val="096F31ED"/>
    <w:rsid w:val="09902CD9"/>
    <w:rsid w:val="09F923F2"/>
    <w:rsid w:val="0A417A71"/>
    <w:rsid w:val="0BF42FB6"/>
    <w:rsid w:val="0CD26B72"/>
    <w:rsid w:val="0CDE1250"/>
    <w:rsid w:val="0D0105E2"/>
    <w:rsid w:val="0DF529AA"/>
    <w:rsid w:val="0E6C1CE9"/>
    <w:rsid w:val="0ED94E2B"/>
    <w:rsid w:val="1243438B"/>
    <w:rsid w:val="12512222"/>
    <w:rsid w:val="12576BE1"/>
    <w:rsid w:val="128C45E8"/>
    <w:rsid w:val="12987BBE"/>
    <w:rsid w:val="130F28CB"/>
    <w:rsid w:val="147035D8"/>
    <w:rsid w:val="15CC6FF4"/>
    <w:rsid w:val="15DB131D"/>
    <w:rsid w:val="15F349F3"/>
    <w:rsid w:val="160E3821"/>
    <w:rsid w:val="16696500"/>
    <w:rsid w:val="173373F9"/>
    <w:rsid w:val="17783D87"/>
    <w:rsid w:val="17E14470"/>
    <w:rsid w:val="199D673D"/>
    <w:rsid w:val="1A3569FB"/>
    <w:rsid w:val="1A652286"/>
    <w:rsid w:val="1B4A49B0"/>
    <w:rsid w:val="1BB80254"/>
    <w:rsid w:val="1BC23694"/>
    <w:rsid w:val="1C011ED8"/>
    <w:rsid w:val="1C226B48"/>
    <w:rsid w:val="1C2E57A1"/>
    <w:rsid w:val="1C3837C0"/>
    <w:rsid w:val="1C474732"/>
    <w:rsid w:val="1D0775DC"/>
    <w:rsid w:val="1D0E5574"/>
    <w:rsid w:val="1D7A2BC3"/>
    <w:rsid w:val="1E6D65C7"/>
    <w:rsid w:val="1EB674CA"/>
    <w:rsid w:val="1F3D73C5"/>
    <w:rsid w:val="21F2042A"/>
    <w:rsid w:val="225A5A1F"/>
    <w:rsid w:val="230500B6"/>
    <w:rsid w:val="238253F8"/>
    <w:rsid w:val="24702476"/>
    <w:rsid w:val="259015BD"/>
    <w:rsid w:val="25C54F64"/>
    <w:rsid w:val="26954221"/>
    <w:rsid w:val="271274CD"/>
    <w:rsid w:val="27384808"/>
    <w:rsid w:val="28AE176F"/>
    <w:rsid w:val="29122447"/>
    <w:rsid w:val="291A0F9A"/>
    <w:rsid w:val="29784FC8"/>
    <w:rsid w:val="29A07B04"/>
    <w:rsid w:val="2A0E4D3C"/>
    <w:rsid w:val="2A684583"/>
    <w:rsid w:val="2AF03802"/>
    <w:rsid w:val="2B8F3F70"/>
    <w:rsid w:val="2C3247D9"/>
    <w:rsid w:val="2C96568E"/>
    <w:rsid w:val="2C995A88"/>
    <w:rsid w:val="2CAC75E0"/>
    <w:rsid w:val="2DB63630"/>
    <w:rsid w:val="2F0B176E"/>
    <w:rsid w:val="2F106086"/>
    <w:rsid w:val="2F2023CD"/>
    <w:rsid w:val="2F635EB3"/>
    <w:rsid w:val="2F7F2EB6"/>
    <w:rsid w:val="3017401F"/>
    <w:rsid w:val="3018630A"/>
    <w:rsid w:val="302C27B6"/>
    <w:rsid w:val="3030365B"/>
    <w:rsid w:val="3082442A"/>
    <w:rsid w:val="311B0EF0"/>
    <w:rsid w:val="319677D0"/>
    <w:rsid w:val="3213422F"/>
    <w:rsid w:val="32161162"/>
    <w:rsid w:val="335A5FD5"/>
    <w:rsid w:val="34642B0F"/>
    <w:rsid w:val="350C32CD"/>
    <w:rsid w:val="3712720F"/>
    <w:rsid w:val="37735379"/>
    <w:rsid w:val="37C141B2"/>
    <w:rsid w:val="37D63739"/>
    <w:rsid w:val="386D523B"/>
    <w:rsid w:val="3926346A"/>
    <w:rsid w:val="39617B94"/>
    <w:rsid w:val="39A26EE3"/>
    <w:rsid w:val="3AD16705"/>
    <w:rsid w:val="3B00601C"/>
    <w:rsid w:val="3B026BF2"/>
    <w:rsid w:val="3B914491"/>
    <w:rsid w:val="3B9A24F0"/>
    <w:rsid w:val="3C450A7E"/>
    <w:rsid w:val="3CF17062"/>
    <w:rsid w:val="3DA52107"/>
    <w:rsid w:val="3DB569E9"/>
    <w:rsid w:val="3E4E3F72"/>
    <w:rsid w:val="3ECF07CE"/>
    <w:rsid w:val="3EEE6689"/>
    <w:rsid w:val="3F1054FD"/>
    <w:rsid w:val="3F6C0479"/>
    <w:rsid w:val="40340642"/>
    <w:rsid w:val="41896A9A"/>
    <w:rsid w:val="418C3C17"/>
    <w:rsid w:val="424117CD"/>
    <w:rsid w:val="42BA1DFE"/>
    <w:rsid w:val="42ED57D4"/>
    <w:rsid w:val="43BF48CD"/>
    <w:rsid w:val="44C77103"/>
    <w:rsid w:val="45A847A7"/>
    <w:rsid w:val="45FD614F"/>
    <w:rsid w:val="46513205"/>
    <w:rsid w:val="49C40A3B"/>
    <w:rsid w:val="4BFD25D4"/>
    <w:rsid w:val="4CF049A1"/>
    <w:rsid w:val="512F1E4F"/>
    <w:rsid w:val="51454838"/>
    <w:rsid w:val="515507EF"/>
    <w:rsid w:val="521E74C6"/>
    <w:rsid w:val="527B7CD5"/>
    <w:rsid w:val="53453E88"/>
    <w:rsid w:val="53E81246"/>
    <w:rsid w:val="542074E6"/>
    <w:rsid w:val="544B2014"/>
    <w:rsid w:val="55F36648"/>
    <w:rsid w:val="56FA05AB"/>
    <w:rsid w:val="57030721"/>
    <w:rsid w:val="571D5D8C"/>
    <w:rsid w:val="57436B9E"/>
    <w:rsid w:val="58DD0C7F"/>
    <w:rsid w:val="59E9583F"/>
    <w:rsid w:val="5A197459"/>
    <w:rsid w:val="5A23544F"/>
    <w:rsid w:val="5B756118"/>
    <w:rsid w:val="5CBC5954"/>
    <w:rsid w:val="5CFC13C6"/>
    <w:rsid w:val="5D205FF4"/>
    <w:rsid w:val="5DFF1DFA"/>
    <w:rsid w:val="5EA27C51"/>
    <w:rsid w:val="614970A7"/>
    <w:rsid w:val="619B089B"/>
    <w:rsid w:val="61F07DC1"/>
    <w:rsid w:val="632F3B45"/>
    <w:rsid w:val="63625966"/>
    <w:rsid w:val="64DD113B"/>
    <w:rsid w:val="65CB237E"/>
    <w:rsid w:val="66A278C2"/>
    <w:rsid w:val="66E77367"/>
    <w:rsid w:val="676C2E44"/>
    <w:rsid w:val="67C57DE6"/>
    <w:rsid w:val="684E5903"/>
    <w:rsid w:val="68504DB5"/>
    <w:rsid w:val="686073F2"/>
    <w:rsid w:val="686B61A1"/>
    <w:rsid w:val="68E33ECF"/>
    <w:rsid w:val="697C2968"/>
    <w:rsid w:val="69CE0FEA"/>
    <w:rsid w:val="69E02626"/>
    <w:rsid w:val="6AD25B26"/>
    <w:rsid w:val="6AE35D15"/>
    <w:rsid w:val="6AE64A2C"/>
    <w:rsid w:val="6D535020"/>
    <w:rsid w:val="6D5F07D0"/>
    <w:rsid w:val="6E265EED"/>
    <w:rsid w:val="6E296899"/>
    <w:rsid w:val="6E384589"/>
    <w:rsid w:val="6F726077"/>
    <w:rsid w:val="70866642"/>
    <w:rsid w:val="70905169"/>
    <w:rsid w:val="71A64CE0"/>
    <w:rsid w:val="71F34AFF"/>
    <w:rsid w:val="72210988"/>
    <w:rsid w:val="73AC74FF"/>
    <w:rsid w:val="73C045D2"/>
    <w:rsid w:val="755B76FF"/>
    <w:rsid w:val="76A500EA"/>
    <w:rsid w:val="76DE431F"/>
    <w:rsid w:val="771879A5"/>
    <w:rsid w:val="77D036FA"/>
    <w:rsid w:val="785E7EC5"/>
    <w:rsid w:val="789D4941"/>
    <w:rsid w:val="78C50BF7"/>
    <w:rsid w:val="7AD12FCF"/>
    <w:rsid w:val="7B0B52E1"/>
    <w:rsid w:val="7C4268DA"/>
    <w:rsid w:val="7CE31988"/>
    <w:rsid w:val="7D03166A"/>
    <w:rsid w:val="7EAD2569"/>
    <w:rsid w:val="7EF23DE1"/>
    <w:rsid w:val="7F7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2018-10-17T02:22:00Z</dcterms:created>
  <dc:creator>提拉米苏1386556919</dc:creator>
  <cp:lastModifiedBy>提拉米苏1386556919</cp:lastModifiedBy>
  <cp:lastPrinted>2018-11-05T03:00:00Z</cp:lastPrinted>
  <dcterms:modified xsi:type="dcterms:W3CDTF">2018-11-05T07:00:58Z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