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eastAsia="黑体"/>
          <w:sz w:val="36"/>
          <w:szCs w:val="36"/>
        </w:rPr>
        <w:t>2018年下半年舟山市港航管理局赴部分高校现场招聘事业单位工作人员计划表</w:t>
      </w:r>
    </w:p>
    <w:p/>
    <w:tbl>
      <w:tblPr>
        <w:tblStyle w:val="6"/>
        <w:tblW w:w="1489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69"/>
        <w:gridCol w:w="1561"/>
        <w:gridCol w:w="705"/>
        <w:gridCol w:w="2025"/>
        <w:gridCol w:w="3585"/>
        <w:gridCol w:w="3331"/>
        <w:gridCol w:w="17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jc w:val="center"/>
        </w:trPr>
        <w:tc>
          <w:tcPr>
            <w:tcW w:w="1969" w:type="dxa"/>
            <w:vAlign w:val="center"/>
          </w:tcPr>
          <w:p>
            <w:pPr>
              <w:jc w:val="center"/>
            </w:pPr>
            <w:r>
              <w:rPr>
                <w:rFonts w:hint="eastAsia"/>
              </w:rPr>
              <w:t>招聘单位</w:t>
            </w:r>
          </w:p>
        </w:tc>
        <w:tc>
          <w:tcPr>
            <w:tcW w:w="1561" w:type="dxa"/>
            <w:vAlign w:val="center"/>
          </w:tcPr>
          <w:p>
            <w:pPr>
              <w:jc w:val="center"/>
            </w:pPr>
            <w:r>
              <w:rPr>
                <w:rFonts w:hint="eastAsia"/>
              </w:rPr>
              <w:t>招聘岗位</w:t>
            </w:r>
          </w:p>
        </w:tc>
        <w:tc>
          <w:tcPr>
            <w:tcW w:w="705" w:type="dxa"/>
            <w:vAlign w:val="center"/>
          </w:tcPr>
          <w:p>
            <w:pPr>
              <w:jc w:val="center"/>
            </w:pPr>
            <w:r>
              <w:rPr>
                <w:rFonts w:hint="eastAsia"/>
              </w:rPr>
              <w:t>招聘   人数</w:t>
            </w:r>
          </w:p>
        </w:tc>
        <w:tc>
          <w:tcPr>
            <w:tcW w:w="2025" w:type="dxa"/>
            <w:vAlign w:val="center"/>
          </w:tcPr>
          <w:p>
            <w:pPr>
              <w:jc w:val="center"/>
            </w:pPr>
            <w:r>
              <w:rPr>
                <w:rFonts w:hint="eastAsia"/>
              </w:rPr>
              <w:t>学历学位</w:t>
            </w:r>
          </w:p>
        </w:tc>
        <w:tc>
          <w:tcPr>
            <w:tcW w:w="3585" w:type="dxa"/>
            <w:vAlign w:val="center"/>
          </w:tcPr>
          <w:p>
            <w:pPr>
              <w:jc w:val="center"/>
            </w:pPr>
            <w:r>
              <w:rPr>
                <w:rFonts w:hint="eastAsia"/>
              </w:rPr>
              <w:t>专业要求</w:t>
            </w:r>
          </w:p>
        </w:tc>
        <w:tc>
          <w:tcPr>
            <w:tcW w:w="3331" w:type="dxa"/>
            <w:vAlign w:val="center"/>
          </w:tcPr>
          <w:p>
            <w:pPr>
              <w:jc w:val="center"/>
            </w:pPr>
            <w:r>
              <w:rPr>
                <w:rFonts w:hint="eastAsia"/>
              </w:rPr>
              <w:t>年龄要求</w:t>
            </w:r>
          </w:p>
        </w:tc>
        <w:tc>
          <w:tcPr>
            <w:tcW w:w="1719" w:type="dxa"/>
            <w:vAlign w:val="center"/>
          </w:tcPr>
          <w:p>
            <w:pPr>
              <w:jc w:val="center"/>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4" w:hRule="atLeast"/>
          <w:jc w:val="center"/>
        </w:trPr>
        <w:tc>
          <w:tcPr>
            <w:tcW w:w="1969" w:type="dxa"/>
            <w:vAlign w:val="center"/>
          </w:tcPr>
          <w:p>
            <w:pPr>
              <w:jc w:val="center"/>
            </w:pPr>
            <w:r>
              <w:rPr>
                <w:rFonts w:hint="eastAsia"/>
              </w:rPr>
              <w:t>舟山市港航管理局</w:t>
            </w:r>
          </w:p>
        </w:tc>
        <w:tc>
          <w:tcPr>
            <w:tcW w:w="1561" w:type="dxa"/>
            <w:vAlign w:val="center"/>
          </w:tcPr>
          <w:p>
            <w:pPr>
              <w:jc w:val="center"/>
            </w:pPr>
            <w:r>
              <w:rPr>
                <w:rFonts w:hint="eastAsia"/>
              </w:rPr>
              <w:t>人力资源管理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全日制普通高校硕士研究生及以上</w:t>
            </w:r>
          </w:p>
        </w:tc>
        <w:tc>
          <w:tcPr>
            <w:tcW w:w="3585" w:type="dxa"/>
            <w:vAlign w:val="center"/>
          </w:tcPr>
          <w:p>
            <w:pPr>
              <w:jc w:val="center"/>
            </w:pPr>
            <w:r>
              <w:rPr>
                <w:rFonts w:hint="eastAsia"/>
              </w:rPr>
              <w:t>人力资源管理、公共人力资源管理、公共组织与人力资源</w:t>
            </w:r>
          </w:p>
        </w:tc>
        <w:tc>
          <w:tcPr>
            <w:tcW w:w="3331" w:type="dxa"/>
            <w:vAlign w:val="center"/>
          </w:tcPr>
          <w:p>
            <w:pPr>
              <w:jc w:val="center"/>
            </w:pPr>
            <w:r>
              <w:rPr>
                <w:rFonts w:hint="eastAsia"/>
              </w:rPr>
              <w:t>198</w:t>
            </w:r>
            <w:r>
              <w:rPr>
                <w:rFonts w:hint="eastAsia"/>
                <w:lang w:val="en-US" w:eastAsia="zh-CN"/>
              </w:rPr>
              <w:t>2</w:t>
            </w:r>
            <w:r>
              <w:rPr>
                <w:rFonts w:hint="eastAsia"/>
              </w:rPr>
              <w:t>年10月30日及以后出生</w:t>
            </w:r>
          </w:p>
        </w:tc>
        <w:tc>
          <w:tcPr>
            <w:tcW w:w="171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6" w:hRule="atLeast"/>
          <w:jc w:val="center"/>
        </w:trPr>
        <w:tc>
          <w:tcPr>
            <w:tcW w:w="1969" w:type="dxa"/>
            <w:vAlign w:val="center"/>
          </w:tcPr>
          <w:p>
            <w:pPr>
              <w:jc w:val="center"/>
            </w:pPr>
            <w:r>
              <w:rPr>
                <w:rFonts w:hint="eastAsia"/>
              </w:rPr>
              <w:t>舟山市水运工程质量安全监督局</w:t>
            </w:r>
          </w:p>
        </w:tc>
        <w:tc>
          <w:tcPr>
            <w:tcW w:w="1561" w:type="dxa"/>
            <w:vAlign w:val="center"/>
          </w:tcPr>
          <w:p>
            <w:pPr>
              <w:jc w:val="center"/>
            </w:pPr>
            <w:r>
              <w:rPr>
                <w:rFonts w:hint="eastAsia"/>
              </w:rPr>
              <w:t>水运工程管理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全日制普通高校硕士研究生及以上</w:t>
            </w:r>
          </w:p>
        </w:tc>
        <w:tc>
          <w:tcPr>
            <w:tcW w:w="3585" w:type="dxa"/>
            <w:vAlign w:val="center"/>
          </w:tcPr>
          <w:p>
            <w:pPr>
              <w:jc w:val="center"/>
            </w:pPr>
            <w:r>
              <w:rPr>
                <w:rFonts w:hint="eastAsia"/>
              </w:rPr>
              <w:t>港口、海岸及近海工程</w:t>
            </w:r>
          </w:p>
        </w:tc>
        <w:tc>
          <w:tcPr>
            <w:tcW w:w="3331" w:type="dxa"/>
            <w:vAlign w:val="center"/>
          </w:tcPr>
          <w:p>
            <w:pPr>
              <w:jc w:val="center"/>
            </w:pPr>
            <w:r>
              <w:rPr>
                <w:rFonts w:hint="eastAsia"/>
              </w:rPr>
              <w:t>198</w:t>
            </w:r>
            <w:r>
              <w:rPr>
                <w:rFonts w:hint="eastAsia"/>
                <w:lang w:val="en-US" w:eastAsia="zh-CN"/>
              </w:rPr>
              <w:t>2</w:t>
            </w:r>
            <w:r>
              <w:rPr>
                <w:rFonts w:hint="eastAsia"/>
              </w:rPr>
              <w:t>年10月30日及以后出生</w:t>
            </w:r>
          </w:p>
        </w:tc>
        <w:tc>
          <w:tcPr>
            <w:tcW w:w="1719" w:type="dxa"/>
            <w:vAlign w:val="center"/>
          </w:tcPr>
          <w:p>
            <w:pPr>
              <w:jc w:val="center"/>
            </w:pPr>
            <w:r>
              <w:rPr>
                <w:rFonts w:hint="eastAsia"/>
              </w:rPr>
              <w:t>本科阶段专业要求：港口航道与海岸工程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4" w:hRule="atLeast"/>
          <w:jc w:val="center"/>
        </w:trPr>
        <w:tc>
          <w:tcPr>
            <w:tcW w:w="1969" w:type="dxa"/>
            <w:vMerge w:val="restart"/>
            <w:vAlign w:val="center"/>
          </w:tcPr>
          <w:p>
            <w:pPr>
              <w:widowControl/>
              <w:spacing w:before="100" w:beforeAutospacing="1" w:after="100" w:afterAutospacing="1"/>
              <w:jc w:val="center"/>
              <w:rPr>
                <w:rFonts w:ascii="宋体" w:hAnsi="宋体" w:eastAsia="宋体" w:cs="宋体"/>
                <w:kern w:val="0"/>
                <w:sz w:val="24"/>
                <w:szCs w:val="24"/>
              </w:rPr>
            </w:pPr>
            <w:r>
              <w:rPr>
                <w:rFonts w:ascii="宋体" w:hAnsi="宋体" w:eastAsia="宋体" w:cs="宋体"/>
                <w:kern w:val="0"/>
                <w:szCs w:val="21"/>
              </w:rPr>
              <w:t>舟山市港航管理局定海分局、普陀分局、金塘分局、六横分局、新城分局</w:t>
            </w:r>
          </w:p>
        </w:tc>
        <w:tc>
          <w:tcPr>
            <w:tcW w:w="1561" w:type="dxa"/>
            <w:vAlign w:val="center"/>
          </w:tcPr>
          <w:p>
            <w:pPr>
              <w:jc w:val="center"/>
            </w:pPr>
            <w:r>
              <w:rPr>
                <w:rFonts w:hint="eastAsia"/>
              </w:rPr>
              <w:t>港口危化管理</w:t>
            </w:r>
          </w:p>
        </w:tc>
        <w:tc>
          <w:tcPr>
            <w:tcW w:w="705" w:type="dxa"/>
            <w:vAlign w:val="center"/>
          </w:tcPr>
          <w:p>
            <w:pPr>
              <w:jc w:val="center"/>
            </w:pPr>
            <w:r>
              <w:rPr>
                <w:rFonts w:hint="eastAsia"/>
              </w:rPr>
              <w:t>2</w:t>
            </w:r>
          </w:p>
        </w:tc>
        <w:tc>
          <w:tcPr>
            <w:tcW w:w="2025" w:type="dxa"/>
            <w:vAlign w:val="center"/>
          </w:tcPr>
          <w:p>
            <w:pPr>
              <w:jc w:val="center"/>
            </w:pPr>
            <w:r>
              <w:rPr>
                <w:rFonts w:hint="eastAsia"/>
              </w:rPr>
              <w:t>全日制普通高校硕士研究生及以上</w:t>
            </w:r>
          </w:p>
        </w:tc>
        <w:tc>
          <w:tcPr>
            <w:tcW w:w="3585" w:type="dxa"/>
            <w:vAlign w:val="center"/>
          </w:tcPr>
          <w:p>
            <w:pPr>
              <w:jc w:val="center"/>
            </w:pPr>
            <w:r>
              <w:rPr>
                <w:rFonts w:hint="eastAsia"/>
              </w:rPr>
              <w:t>安全科学与工程、安全工程、油气储运工程、石油与天然气工程（油气储运工程方向）</w:t>
            </w:r>
          </w:p>
        </w:tc>
        <w:tc>
          <w:tcPr>
            <w:tcW w:w="3331" w:type="dxa"/>
            <w:vAlign w:val="center"/>
          </w:tcPr>
          <w:p>
            <w:pPr>
              <w:jc w:val="center"/>
            </w:pPr>
            <w:r>
              <w:rPr>
                <w:rFonts w:hint="eastAsia"/>
              </w:rPr>
              <w:t>198</w:t>
            </w:r>
            <w:r>
              <w:rPr>
                <w:rFonts w:hint="eastAsia"/>
                <w:lang w:val="en-US" w:eastAsia="zh-CN"/>
              </w:rPr>
              <w:t>2</w:t>
            </w:r>
            <w:r>
              <w:rPr>
                <w:rFonts w:hint="eastAsia"/>
              </w:rPr>
              <w:t>年10月30日及以后出生</w:t>
            </w:r>
          </w:p>
        </w:tc>
        <w:tc>
          <w:tcPr>
            <w:tcW w:w="171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7" w:hRule="atLeast"/>
          <w:jc w:val="center"/>
        </w:trPr>
        <w:tc>
          <w:tcPr>
            <w:tcW w:w="1969" w:type="dxa"/>
            <w:vMerge w:val="continue"/>
            <w:vAlign w:val="center"/>
          </w:tcPr>
          <w:p>
            <w:pPr>
              <w:jc w:val="center"/>
            </w:pPr>
          </w:p>
        </w:tc>
        <w:tc>
          <w:tcPr>
            <w:tcW w:w="1561" w:type="dxa"/>
            <w:vAlign w:val="center"/>
          </w:tcPr>
          <w:p>
            <w:pPr>
              <w:jc w:val="center"/>
            </w:pPr>
            <w:r>
              <w:rPr>
                <w:rFonts w:hint="eastAsia"/>
              </w:rPr>
              <w:t>港航管理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全日制普通高校硕士研究生及以上</w:t>
            </w:r>
          </w:p>
        </w:tc>
        <w:tc>
          <w:tcPr>
            <w:tcW w:w="3585" w:type="dxa"/>
            <w:vAlign w:val="center"/>
          </w:tcPr>
          <w:p>
            <w:pPr>
              <w:jc w:val="center"/>
            </w:pPr>
            <w:r>
              <w:rPr>
                <w:rFonts w:hint="eastAsia"/>
              </w:rPr>
              <w:t>交通运输规划与管理、海上交通工程、物流工程、物流工程与管理</w:t>
            </w:r>
            <w:r>
              <w:t xml:space="preserve"> </w:t>
            </w:r>
          </w:p>
        </w:tc>
        <w:tc>
          <w:tcPr>
            <w:tcW w:w="3331" w:type="dxa"/>
            <w:vAlign w:val="center"/>
          </w:tcPr>
          <w:p>
            <w:pPr>
              <w:jc w:val="center"/>
            </w:pPr>
            <w:r>
              <w:rPr>
                <w:rFonts w:hint="eastAsia"/>
              </w:rPr>
              <w:t>198</w:t>
            </w:r>
            <w:r>
              <w:rPr>
                <w:rFonts w:hint="eastAsia"/>
                <w:lang w:val="en-US" w:eastAsia="zh-CN"/>
              </w:rPr>
              <w:t>2</w:t>
            </w:r>
            <w:r>
              <w:rPr>
                <w:rFonts w:hint="eastAsia"/>
              </w:rPr>
              <w:t>年10月30日及以后出生</w:t>
            </w:r>
          </w:p>
        </w:tc>
        <w:tc>
          <w:tcPr>
            <w:tcW w:w="171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8" w:hRule="atLeast"/>
          <w:jc w:val="center"/>
        </w:trPr>
        <w:tc>
          <w:tcPr>
            <w:tcW w:w="1969" w:type="dxa"/>
            <w:vMerge w:val="restart"/>
            <w:vAlign w:val="center"/>
          </w:tcPr>
          <w:p>
            <w:pPr>
              <w:jc w:val="center"/>
            </w:pPr>
            <w:r>
              <w:rPr>
                <w:rFonts w:ascii="宋体" w:hAnsi="宋体" w:eastAsia="宋体" w:cs="宋体"/>
                <w:kern w:val="0"/>
                <w:szCs w:val="21"/>
              </w:rPr>
              <w:t>舟山市港航管理局</w:t>
            </w:r>
            <w:r>
              <w:rPr>
                <w:rFonts w:hint="eastAsia"/>
              </w:rPr>
              <w:t>岱山分局</w:t>
            </w:r>
          </w:p>
        </w:tc>
        <w:tc>
          <w:tcPr>
            <w:tcW w:w="1561" w:type="dxa"/>
            <w:vAlign w:val="center"/>
          </w:tcPr>
          <w:p>
            <w:pPr>
              <w:jc w:val="center"/>
            </w:pPr>
            <w:r>
              <w:rPr>
                <w:rFonts w:hint="eastAsia"/>
              </w:rPr>
              <w:t>港口危化管理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全日制普通高校本科学士及以上</w:t>
            </w:r>
          </w:p>
        </w:tc>
        <w:tc>
          <w:tcPr>
            <w:tcW w:w="3585" w:type="dxa"/>
            <w:vAlign w:val="center"/>
          </w:tcPr>
          <w:p>
            <w:pPr>
              <w:jc w:val="center"/>
            </w:pPr>
            <w:r>
              <w:rPr>
                <w:rFonts w:hint="eastAsia"/>
              </w:rPr>
              <w:t>油气储运工程、安全工程</w:t>
            </w:r>
          </w:p>
        </w:tc>
        <w:tc>
          <w:tcPr>
            <w:tcW w:w="3331" w:type="dxa"/>
            <w:vAlign w:val="center"/>
          </w:tcPr>
          <w:p>
            <w:pPr>
              <w:jc w:val="center"/>
            </w:pPr>
            <w:r>
              <w:rPr>
                <w:rFonts w:hint="eastAsia"/>
              </w:rPr>
              <w:t>1987年10月30日及以后出生</w:t>
            </w:r>
          </w:p>
        </w:tc>
        <w:tc>
          <w:tcPr>
            <w:tcW w:w="171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9" w:hRule="atLeast"/>
          <w:jc w:val="center"/>
        </w:trPr>
        <w:tc>
          <w:tcPr>
            <w:tcW w:w="1969" w:type="dxa"/>
            <w:vMerge w:val="continue"/>
            <w:vAlign w:val="center"/>
          </w:tcPr>
          <w:p>
            <w:pPr>
              <w:jc w:val="center"/>
            </w:pPr>
            <w:bookmarkStart w:id="0" w:name="_GoBack" w:colFirst="1" w:colLast="5"/>
          </w:p>
        </w:tc>
        <w:tc>
          <w:tcPr>
            <w:tcW w:w="1561" w:type="dxa"/>
            <w:vAlign w:val="center"/>
          </w:tcPr>
          <w:p>
            <w:pPr>
              <w:jc w:val="center"/>
            </w:pPr>
            <w:r>
              <w:rPr>
                <w:rFonts w:hint="eastAsia"/>
              </w:rPr>
              <w:t>港航管理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全日制普通高校本科学士及以上</w:t>
            </w:r>
          </w:p>
        </w:tc>
        <w:tc>
          <w:tcPr>
            <w:tcW w:w="3585" w:type="dxa"/>
            <w:vAlign w:val="center"/>
          </w:tcPr>
          <w:p>
            <w:pPr>
              <w:jc w:val="center"/>
            </w:pPr>
            <w:r>
              <w:rPr>
                <w:rFonts w:hint="eastAsia"/>
              </w:rPr>
              <w:t>交通运输、交通管理、海事管理、物流管理、物流工程</w:t>
            </w:r>
          </w:p>
        </w:tc>
        <w:tc>
          <w:tcPr>
            <w:tcW w:w="3331" w:type="dxa"/>
            <w:vAlign w:val="center"/>
          </w:tcPr>
          <w:p>
            <w:pPr>
              <w:jc w:val="center"/>
            </w:pPr>
            <w:r>
              <w:rPr>
                <w:rFonts w:hint="eastAsia"/>
              </w:rPr>
              <w:t>1987年10月30日及以后出生</w:t>
            </w:r>
          </w:p>
        </w:tc>
        <w:tc>
          <w:tcPr>
            <w:tcW w:w="1719" w:type="dxa"/>
            <w:vAlign w:val="center"/>
          </w:tcPr>
          <w:p>
            <w:pPr>
              <w:jc w:val="center"/>
            </w:pP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jc w:val="center"/>
        </w:trPr>
        <w:tc>
          <w:tcPr>
            <w:tcW w:w="1969" w:type="dxa"/>
            <w:vMerge w:val="restart"/>
            <w:vAlign w:val="center"/>
          </w:tcPr>
          <w:p>
            <w:pPr>
              <w:jc w:val="center"/>
            </w:pPr>
            <w:r>
              <w:rPr>
                <w:rFonts w:ascii="宋体" w:hAnsi="宋体" w:eastAsia="宋体" w:cs="宋体"/>
                <w:kern w:val="0"/>
                <w:szCs w:val="21"/>
              </w:rPr>
              <w:t>舟山市港航管理局</w:t>
            </w:r>
            <w:r>
              <w:rPr>
                <w:rFonts w:hint="eastAsia"/>
              </w:rPr>
              <w:t>嵊泗分局</w:t>
            </w:r>
          </w:p>
        </w:tc>
        <w:tc>
          <w:tcPr>
            <w:tcW w:w="1561" w:type="dxa"/>
            <w:vAlign w:val="center"/>
          </w:tcPr>
          <w:p>
            <w:pPr>
              <w:jc w:val="center"/>
            </w:pPr>
            <w:r>
              <w:rPr>
                <w:rFonts w:hint="eastAsia"/>
              </w:rPr>
              <w:t>港口危化管理</w:t>
            </w:r>
          </w:p>
        </w:tc>
        <w:tc>
          <w:tcPr>
            <w:tcW w:w="705" w:type="dxa"/>
            <w:vAlign w:val="center"/>
          </w:tcPr>
          <w:p>
            <w:pPr>
              <w:jc w:val="center"/>
            </w:pPr>
            <w:r>
              <w:rPr>
                <w:rFonts w:hint="eastAsia"/>
              </w:rPr>
              <w:t>1</w:t>
            </w:r>
          </w:p>
        </w:tc>
        <w:tc>
          <w:tcPr>
            <w:tcW w:w="2025" w:type="dxa"/>
            <w:vAlign w:val="center"/>
          </w:tcPr>
          <w:p>
            <w:pPr>
              <w:jc w:val="center"/>
            </w:pPr>
            <w:r>
              <w:rPr>
                <w:rFonts w:hint="eastAsia"/>
              </w:rPr>
              <w:t>全日制普通高校本科学士及以上</w:t>
            </w:r>
          </w:p>
        </w:tc>
        <w:tc>
          <w:tcPr>
            <w:tcW w:w="3585" w:type="dxa"/>
            <w:vAlign w:val="center"/>
          </w:tcPr>
          <w:p>
            <w:pPr>
              <w:jc w:val="center"/>
            </w:pPr>
            <w:r>
              <w:rPr>
                <w:rFonts w:hint="eastAsia"/>
              </w:rPr>
              <w:t>油气储运工程、安全工程</w:t>
            </w:r>
          </w:p>
        </w:tc>
        <w:tc>
          <w:tcPr>
            <w:tcW w:w="3331" w:type="dxa"/>
            <w:vAlign w:val="center"/>
          </w:tcPr>
          <w:p>
            <w:pPr>
              <w:jc w:val="center"/>
            </w:pPr>
            <w:r>
              <w:rPr>
                <w:rFonts w:hint="eastAsia"/>
              </w:rPr>
              <w:t>1987年10月30日及以后出生</w:t>
            </w:r>
          </w:p>
        </w:tc>
        <w:tc>
          <w:tcPr>
            <w:tcW w:w="1719"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7" w:hRule="atLeast"/>
          <w:jc w:val="center"/>
        </w:trPr>
        <w:tc>
          <w:tcPr>
            <w:tcW w:w="1969" w:type="dxa"/>
            <w:vMerge w:val="continue"/>
            <w:vAlign w:val="center"/>
          </w:tcPr>
          <w:p>
            <w:pPr>
              <w:jc w:val="center"/>
            </w:pPr>
          </w:p>
        </w:tc>
        <w:tc>
          <w:tcPr>
            <w:tcW w:w="1561" w:type="dxa"/>
            <w:vAlign w:val="center"/>
          </w:tcPr>
          <w:p>
            <w:pPr>
              <w:jc w:val="center"/>
            </w:pPr>
            <w:r>
              <w:rPr>
                <w:rFonts w:hint="eastAsia"/>
              </w:rPr>
              <w:t>港航管理</w:t>
            </w:r>
          </w:p>
        </w:tc>
        <w:tc>
          <w:tcPr>
            <w:tcW w:w="705" w:type="dxa"/>
            <w:vAlign w:val="center"/>
          </w:tcPr>
          <w:p>
            <w:pPr>
              <w:jc w:val="center"/>
            </w:pPr>
            <w:r>
              <w:rPr>
                <w:rFonts w:hint="eastAsia"/>
              </w:rPr>
              <w:t>2</w:t>
            </w:r>
          </w:p>
        </w:tc>
        <w:tc>
          <w:tcPr>
            <w:tcW w:w="2025" w:type="dxa"/>
            <w:vAlign w:val="center"/>
          </w:tcPr>
          <w:p>
            <w:pPr>
              <w:jc w:val="center"/>
            </w:pPr>
            <w:r>
              <w:rPr>
                <w:rFonts w:hint="eastAsia"/>
              </w:rPr>
              <w:t>全日制普通高校本科学士及以上</w:t>
            </w:r>
          </w:p>
        </w:tc>
        <w:tc>
          <w:tcPr>
            <w:tcW w:w="3585" w:type="dxa"/>
            <w:vAlign w:val="center"/>
          </w:tcPr>
          <w:p>
            <w:pPr>
              <w:jc w:val="center"/>
            </w:pPr>
            <w:r>
              <w:rPr>
                <w:rFonts w:hint="eastAsia"/>
              </w:rPr>
              <w:t>交通运输、交通管理、海事管理、物流管理、物流工程</w:t>
            </w:r>
          </w:p>
        </w:tc>
        <w:tc>
          <w:tcPr>
            <w:tcW w:w="3331" w:type="dxa"/>
            <w:vAlign w:val="center"/>
          </w:tcPr>
          <w:p>
            <w:pPr>
              <w:jc w:val="center"/>
            </w:pPr>
            <w:r>
              <w:rPr>
                <w:rFonts w:hint="eastAsia"/>
              </w:rPr>
              <w:t>1987年10月30日及以后出生</w:t>
            </w:r>
          </w:p>
        </w:tc>
        <w:tc>
          <w:tcPr>
            <w:tcW w:w="1719" w:type="dxa"/>
            <w:vAlign w:val="center"/>
          </w:tcPr>
          <w:p>
            <w:pPr>
              <w:jc w:val="center"/>
            </w:pPr>
          </w:p>
        </w:tc>
      </w:tr>
    </w:tbl>
    <w:p/>
    <w:sectPr>
      <w:pgSz w:w="16838" w:h="11906" w:orient="landscape"/>
      <w:pgMar w:top="1474" w:right="1247" w:bottom="147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4027"/>
    <w:rsid w:val="000309D8"/>
    <w:rsid w:val="00043B23"/>
    <w:rsid w:val="0004596F"/>
    <w:rsid w:val="000566FB"/>
    <w:rsid w:val="00070CA8"/>
    <w:rsid w:val="00076CAB"/>
    <w:rsid w:val="000A755A"/>
    <w:rsid w:val="000C492F"/>
    <w:rsid w:val="000C515D"/>
    <w:rsid w:val="000C7F3E"/>
    <w:rsid w:val="000D6BAD"/>
    <w:rsid w:val="000E7E24"/>
    <w:rsid w:val="00116CED"/>
    <w:rsid w:val="0012394A"/>
    <w:rsid w:val="001425EA"/>
    <w:rsid w:val="00163B2C"/>
    <w:rsid w:val="00172886"/>
    <w:rsid w:val="00183E48"/>
    <w:rsid w:val="001D498B"/>
    <w:rsid w:val="001E03E9"/>
    <w:rsid w:val="00202FC7"/>
    <w:rsid w:val="00225088"/>
    <w:rsid w:val="00264474"/>
    <w:rsid w:val="0026552B"/>
    <w:rsid w:val="00280729"/>
    <w:rsid w:val="00292FEA"/>
    <w:rsid w:val="002A610C"/>
    <w:rsid w:val="003123E9"/>
    <w:rsid w:val="00315CB4"/>
    <w:rsid w:val="0033193D"/>
    <w:rsid w:val="0033694C"/>
    <w:rsid w:val="00373063"/>
    <w:rsid w:val="0038587D"/>
    <w:rsid w:val="003B101B"/>
    <w:rsid w:val="003D2051"/>
    <w:rsid w:val="003E67EA"/>
    <w:rsid w:val="003F4EA2"/>
    <w:rsid w:val="003F7C86"/>
    <w:rsid w:val="00415432"/>
    <w:rsid w:val="004215EF"/>
    <w:rsid w:val="00441209"/>
    <w:rsid w:val="0046077B"/>
    <w:rsid w:val="0047168E"/>
    <w:rsid w:val="004908C7"/>
    <w:rsid w:val="004A62AC"/>
    <w:rsid w:val="004B356E"/>
    <w:rsid w:val="004D3D55"/>
    <w:rsid w:val="004D5DD7"/>
    <w:rsid w:val="004E6CB8"/>
    <w:rsid w:val="00500D20"/>
    <w:rsid w:val="00544874"/>
    <w:rsid w:val="0059729F"/>
    <w:rsid w:val="005A0EE1"/>
    <w:rsid w:val="005C1F3B"/>
    <w:rsid w:val="006329B1"/>
    <w:rsid w:val="0068460B"/>
    <w:rsid w:val="00686061"/>
    <w:rsid w:val="006C3387"/>
    <w:rsid w:val="006D7C1C"/>
    <w:rsid w:val="00724027"/>
    <w:rsid w:val="00746385"/>
    <w:rsid w:val="007547F4"/>
    <w:rsid w:val="00764137"/>
    <w:rsid w:val="007C08E7"/>
    <w:rsid w:val="007F0043"/>
    <w:rsid w:val="0081025A"/>
    <w:rsid w:val="00811FBD"/>
    <w:rsid w:val="008359BE"/>
    <w:rsid w:val="00884F55"/>
    <w:rsid w:val="008911C1"/>
    <w:rsid w:val="008A7198"/>
    <w:rsid w:val="008B2EBF"/>
    <w:rsid w:val="008E039D"/>
    <w:rsid w:val="008E5A18"/>
    <w:rsid w:val="008F0AF2"/>
    <w:rsid w:val="009015CD"/>
    <w:rsid w:val="00932C15"/>
    <w:rsid w:val="00941337"/>
    <w:rsid w:val="0094444A"/>
    <w:rsid w:val="00952FBB"/>
    <w:rsid w:val="009C51FE"/>
    <w:rsid w:val="009D2EDE"/>
    <w:rsid w:val="009E0493"/>
    <w:rsid w:val="00A41B8A"/>
    <w:rsid w:val="00A83218"/>
    <w:rsid w:val="00A85E0F"/>
    <w:rsid w:val="00A861E9"/>
    <w:rsid w:val="00AA2456"/>
    <w:rsid w:val="00AB4351"/>
    <w:rsid w:val="00AB4BC7"/>
    <w:rsid w:val="00AD4266"/>
    <w:rsid w:val="00B2302F"/>
    <w:rsid w:val="00B35278"/>
    <w:rsid w:val="00B3570D"/>
    <w:rsid w:val="00B5624B"/>
    <w:rsid w:val="00B56B96"/>
    <w:rsid w:val="00B66104"/>
    <w:rsid w:val="00B865FC"/>
    <w:rsid w:val="00BA1820"/>
    <w:rsid w:val="00C14CD1"/>
    <w:rsid w:val="00C5609B"/>
    <w:rsid w:val="00CC1532"/>
    <w:rsid w:val="00CC7660"/>
    <w:rsid w:val="00D04E5C"/>
    <w:rsid w:val="00D34D7E"/>
    <w:rsid w:val="00D57B0E"/>
    <w:rsid w:val="00D81925"/>
    <w:rsid w:val="00DB3B03"/>
    <w:rsid w:val="00DD2058"/>
    <w:rsid w:val="00DE130A"/>
    <w:rsid w:val="00E04F1F"/>
    <w:rsid w:val="00E13065"/>
    <w:rsid w:val="00E14F70"/>
    <w:rsid w:val="00E31278"/>
    <w:rsid w:val="00E468BD"/>
    <w:rsid w:val="00E8762B"/>
    <w:rsid w:val="00E91CF7"/>
    <w:rsid w:val="00EB2C23"/>
    <w:rsid w:val="00EC03D3"/>
    <w:rsid w:val="00EC0B50"/>
    <w:rsid w:val="00F37154"/>
    <w:rsid w:val="00F47073"/>
    <w:rsid w:val="00F6076B"/>
    <w:rsid w:val="00F923EC"/>
    <w:rsid w:val="00FA7A69"/>
    <w:rsid w:val="00FB1A05"/>
    <w:rsid w:val="00FB4776"/>
    <w:rsid w:val="00FB6288"/>
    <w:rsid w:val="00FC0322"/>
    <w:rsid w:val="00FE6797"/>
    <w:rsid w:val="00FF0803"/>
    <w:rsid w:val="00FF3416"/>
    <w:rsid w:val="07AA65AF"/>
    <w:rsid w:val="0952565A"/>
    <w:rsid w:val="24825049"/>
    <w:rsid w:val="24B81D01"/>
    <w:rsid w:val="28C3041D"/>
    <w:rsid w:val="2B2B42CF"/>
    <w:rsid w:val="2DC65C33"/>
    <w:rsid w:val="2E1351BE"/>
    <w:rsid w:val="5B784B85"/>
    <w:rsid w:val="68DC1AFB"/>
    <w:rsid w:val="728C0DD2"/>
    <w:rsid w:val="7E51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4"/>
    <w:semiHidden/>
    <w:unhideWhenUsed/>
    <w:qFormat/>
    <w:uiPriority w:val="99"/>
    <w:pPr>
      <w:tabs>
        <w:tab w:val="center" w:pos="4153"/>
        <w:tab w:val="right" w:pos="8306"/>
      </w:tabs>
      <w:snapToGrid w:val="0"/>
      <w:jc w:val="left"/>
    </w:pPr>
    <w:rPr>
      <w:sz w:val="18"/>
      <w:szCs w:val="18"/>
    </w:rPr>
  </w:style>
  <w:style w:type="paragraph" w:styleId="3">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7">
    <w:name w:val="Light Shading"/>
    <w:basedOn w:val="5"/>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8">
    <w:name w:val="Light Shading Accent 1"/>
    <w:basedOn w:val="5"/>
    <w:qFormat/>
    <w:uiPriority w:val="60"/>
    <w:rPr>
      <w:color w:val="366091"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table" w:styleId="9">
    <w:name w:val="Light Shading Accent 2"/>
    <w:basedOn w:val="5"/>
    <w:qFormat/>
    <w:uiPriority w:val="60"/>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table" w:styleId="10">
    <w:name w:val="Light Shading Accent 3"/>
    <w:basedOn w:val="5"/>
    <w:qFormat/>
    <w:uiPriority w:val="60"/>
    <w:rPr>
      <w:color w:val="76923C" w:themeColor="accent3" w:themeShade="BF"/>
    </w:rPr>
    <w:tblPr>
      <w:tblBorders>
        <w:top w:val="single" w:color="9BBB59" w:themeColor="accent3" w:sz="8" w:space="0"/>
        <w:bottom w:val="single" w:color="9BBB59"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6EED5" w:themeFill="accent3" w:themeFillTint="3F"/>
      </w:tcPr>
    </w:tblStylePr>
    <w:tblStylePr w:type="band1Horz">
      <w:tblPr>
        <w:tblLayout w:type="fixed"/>
      </w:tblPr>
      <w:tcPr>
        <w:tcBorders>
          <w:left w:val="nil"/>
          <w:right w:val="nil"/>
          <w:insideH w:val="nil"/>
          <w:insideV w:val="nil"/>
        </w:tcBorders>
        <w:shd w:val="clear" w:color="auto" w:fill="E6EED5" w:themeFill="accent3" w:themeFillTint="3F"/>
      </w:tcPr>
    </w:tblStylePr>
  </w:style>
  <w:style w:type="table" w:styleId="11">
    <w:name w:val="Light Shading Accent 4"/>
    <w:basedOn w:val="5"/>
    <w:qFormat/>
    <w:uiPriority w:val="60"/>
    <w:rPr>
      <w:color w:val="5F497A" w:themeColor="accent4" w:themeShade="BF"/>
    </w:rPr>
    <w:tblPr>
      <w:tblBorders>
        <w:top w:val="single" w:color="8064A2" w:themeColor="accent4" w:sz="8" w:space="0"/>
        <w:bottom w:val="single" w:color="8064A2"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hemeFill="accent4" w:themeFillTint="3F"/>
      </w:tcPr>
    </w:tblStylePr>
    <w:tblStylePr w:type="band1Horz">
      <w:tblPr>
        <w:tblLayout w:type="fixed"/>
      </w:tblPr>
      <w:tcPr>
        <w:tcBorders>
          <w:left w:val="nil"/>
          <w:right w:val="nil"/>
          <w:insideH w:val="nil"/>
          <w:insideV w:val="nil"/>
        </w:tcBorders>
        <w:shd w:val="clear" w:color="auto" w:fill="DFD8E8" w:themeFill="accent4" w:themeFillTint="3F"/>
      </w:tcPr>
    </w:tblStylePr>
  </w:style>
  <w:style w:type="table" w:styleId="12">
    <w:name w:val="Light Shading Accent 5"/>
    <w:basedOn w:val="5"/>
    <w:qFormat/>
    <w:uiPriority w:val="60"/>
    <w:rPr>
      <w:color w:val="31849B" w:themeColor="accent5" w:themeShade="BF"/>
    </w:rPr>
    <w:tblPr>
      <w:tblBorders>
        <w:top w:val="single" w:color="4BACC6" w:themeColor="accent5" w:sz="8" w:space="0"/>
        <w:bottom w:val="single" w:color="4BACC6"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0" w:themeFill="accent5" w:themeFillTint="3F"/>
      </w:tcPr>
    </w:tblStylePr>
    <w:tblStylePr w:type="band1Horz">
      <w:tblPr>
        <w:tblLayout w:type="fixed"/>
      </w:tblPr>
      <w:tcPr>
        <w:tcBorders>
          <w:left w:val="nil"/>
          <w:right w:val="nil"/>
          <w:insideH w:val="nil"/>
          <w:insideV w:val="nil"/>
        </w:tcBorders>
        <w:shd w:val="clear" w:color="auto" w:fill="D2EAF0" w:themeFill="accent5" w:themeFillTint="3F"/>
      </w:tcPr>
    </w:tblStylePr>
  </w:style>
  <w:style w:type="character" w:customStyle="1" w:styleId="13">
    <w:name w:val="页眉 Char"/>
    <w:basedOn w:val="4"/>
    <w:link w:val="3"/>
    <w:semiHidden/>
    <w:qFormat/>
    <w:uiPriority w:val="99"/>
    <w:rPr>
      <w:sz w:val="18"/>
      <w:szCs w:val="18"/>
    </w:rPr>
  </w:style>
  <w:style w:type="character" w:customStyle="1" w:styleId="14">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118</Words>
  <Characters>677</Characters>
  <Lines>5</Lines>
  <Paragraphs>1</Paragraphs>
  <TotalTime>15</TotalTime>
  <ScaleCrop>false</ScaleCrop>
  <LinksUpToDate>false</LinksUpToDate>
  <CharactersWithSpaces>794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2018-10-11T02:07:00Z</dcterms:created>
  <dc:creator>沈玲</dc:creator>
  <cp:lastModifiedBy>尼克叔叔</cp:lastModifiedBy>
  <cp:lastPrinted>2018-10-30T00:41:00Z</cp:lastPrinted>
  <dcterms:modified xsi:type="dcterms:W3CDTF">2018-10-30T06:22:55Z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