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540"/>
        <w:gridCol w:w="1080"/>
        <w:gridCol w:w="1080"/>
        <w:gridCol w:w="2355"/>
        <w:gridCol w:w="1560"/>
      </w:tblGrid>
      <w:tr w:rsidR="00A94AEF" w:rsidRPr="00A94AEF" w:rsidTr="00A94AEF">
        <w:trPr>
          <w:trHeight w:val="253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基础医学与法医学院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学术带头人、学术骨干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*45周岁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生理学、病理学与病理生理学、人体解剖与组织胚胎学、药理学、免疫学、生物化学与分子生物学、生物信息学、法医学等基础医学类或生物科学类专业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具备以下条件的人员：</w:t>
            </w: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省“新世纪151人才工程”第一层次等省部级及以上人才入选者，或获得省部级及以上成果奖励，或主持国家自然科学基金等国家级研究项目，或在相应领域第一作者（通讯作者）发表高水平研究论文，或具有相对应业绩成果的海内外人才。</w:t>
            </w: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具体条件详见《杭州医学院人才引进实施办法》第六层次及以上对象的引进条件。</w:t>
            </w: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正高年龄放宽至50周岁。</w:t>
            </w:r>
          </w:p>
        </w:tc>
      </w:tr>
      <w:tr w:rsidR="00A94AEF" w:rsidRPr="00A94AEF" w:rsidTr="00A94AEF">
        <w:trPr>
          <w:trHeight w:val="8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迪安检验学院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学术带头人、学术骨干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*45周岁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临床检验诊断学、血液病、微生物学及医学免疫学、生物化学与分子生物学、卫生检验与检疫等临床医学与医学技术类、生物科学类专业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A94AEF" w:rsidRPr="00A94AEF" w:rsidTr="00A94AEF">
        <w:trPr>
          <w:trHeight w:val="61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药学院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学术带头人、学术骨干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*45周岁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药理学、药物化学、药物分析学、药剂学、生药学等药学类专业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A94AEF" w:rsidRPr="00A94AEF" w:rsidTr="00A94AEF">
        <w:trPr>
          <w:trHeight w:val="870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公共卫生学院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学术带头人、学术骨干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*45周岁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公共卫生与预防医学类、社会医学与卫生事业管理类相关专业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A94AEF" w:rsidRPr="00A94AEF" w:rsidTr="00A94AEF">
        <w:trPr>
          <w:trHeight w:val="600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护理学院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学术带头人、学术骨干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*45周岁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护理学、临床医学、助产学等临床医学类、护理学类专业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A94AEF" w:rsidRPr="00A94AEF" w:rsidTr="00A94AEF">
        <w:trPr>
          <w:trHeight w:val="8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医学影像学院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学术带头人、学术骨干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*45周岁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医学影像与核医学、临床医学、生物医学工程、医学信息工程、物理学、数学等临床医学与医学技术类、电子信息类、计算机类专业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A94AEF" w:rsidRPr="00A94AEF" w:rsidTr="00A94AEF">
        <w:trPr>
          <w:trHeight w:val="750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临床医学院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学术带头人、学术骨干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*45周岁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临床医学、口腔医学、儿科学、康复医学与理疗学、康复治疗学等临床医学与医学技术类专业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A94AEF" w:rsidRPr="00A94AEF" w:rsidTr="00A94AEF">
        <w:trPr>
          <w:trHeight w:val="76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马克思主义学院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学术带头人、学术骨干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*45周岁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马克思主义哲学、政治学、中共党史、社会学等哲学类、政治学类、社会学类、马克思主义理论类专业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A94AEF" w:rsidRPr="00A94AEF" w:rsidTr="00A94AEF">
        <w:trPr>
          <w:trHeight w:val="52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lastRenderedPageBreak/>
              <w:t>通识教学部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学术带头人、学术骨干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*45周岁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A94AEF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化学、计算机科学与技术、英语等专业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AEF" w:rsidRPr="00A94AEF" w:rsidRDefault="00A94AEF" w:rsidP="00A94AE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</w:tbl>
    <w:p w:rsidR="00A94AEF" w:rsidRPr="00A94AEF" w:rsidRDefault="00A94AEF" w:rsidP="00A94AEF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000000"/>
          <w:sz w:val="21"/>
          <w:szCs w:val="21"/>
        </w:rPr>
      </w:pPr>
      <w:r w:rsidRPr="00A94AEF">
        <w:rPr>
          <w:rFonts w:ascii="微软雅黑" w:hAnsi="微软雅黑" w:cs="宋体" w:hint="eastAsia"/>
          <w:color w:val="000000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65096"/>
    <w:rsid w:val="00323B43"/>
    <w:rsid w:val="003D37D8"/>
    <w:rsid w:val="00426133"/>
    <w:rsid w:val="004358AB"/>
    <w:rsid w:val="008B7726"/>
    <w:rsid w:val="00A94AE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A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2018-09-02T11:54:00Z</dcterms:modified>
</cp:coreProperties>
</file>