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u w:val="none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color w:val="auto"/>
          <w:sz w:val="44"/>
          <w:szCs w:val="44"/>
          <w:u w:val="none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u w:val="none"/>
        </w:rPr>
        <w:t>双一流</w:t>
      </w:r>
      <w:r>
        <w:rPr>
          <w:rFonts w:hint="eastAsia" w:asciiTheme="minorEastAsia" w:hAnsiTheme="minorEastAsia" w:cstheme="minorEastAsia"/>
          <w:b/>
          <w:bCs/>
          <w:color w:val="auto"/>
          <w:sz w:val="44"/>
          <w:szCs w:val="44"/>
          <w:u w:val="none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u w:val="none"/>
        </w:rPr>
        <w:t>建设高校名单</w:t>
      </w:r>
    </w:p>
    <w:bookmarkEnd w:id="0"/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（共137所）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一流大学建设高校（42所）：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湖南大学、西北农林科技大学、郑州大学、云南大学、新疆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1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一流学科建设高校(95所)：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天津医科大学、华北电力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地质大学、武汉理工大学、华中农业大学、华中师范大学、中南财经政法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中国石油大学、第二军医大学、第四军医大学、北京协和医学院、首都师范大学、外交学院、中国人民公安大学、中国音乐学院、中央美术学院、中央戏剧学院、天津中医药大学、天津工业大学、上海海洋大学、上海中医药大学、上海体育学院、上海音乐学院、南京邮电大学、南京林业大学、南京信息工程大学、南京中医药大学、中国美术学院、河南大学、广州中医药大学、西南石油大学、成都理工大学、成都中医药大学、宁波大学、中国科学院大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8600E"/>
    <w:rsid w:val="234860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2018-06-01T08:07:00Z</dcterms:created>
  <dc:creator>李娜</dc:creator>
  <cp:lastModifiedBy>李娜</cp:lastModifiedBy>
  <dcterms:modified xsi:type="dcterms:W3CDTF">2018-06-01T08:08:59Z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