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60" w:lineRule="exact"/>
        <w:jc w:val="left"/>
        <w:rPr>
          <w:rFonts w:eastAsia="方正小标宋_GBK" w:cs="方正小标宋_GBK" w:asciiTheme="minorHAnsi" w:hAnsiTheme="minorHAnsi"/>
          <w:color w:val="000000" w:themeColor="text1"/>
        </w:rPr>
      </w:pPr>
      <w:r>
        <w:rPr>
          <w:rFonts w:hint="eastAsia" w:ascii="方正仿宋_GBK" w:hAnsi="方正仿宋_GBK" w:eastAsia="方正仿宋_GBK" w:cs="方正仿宋_GBK"/>
          <w:b/>
          <w:bCs/>
          <w:color w:val="000000" w:themeColor="text1"/>
          <w:sz w:val="28"/>
          <w:szCs w:val="28"/>
        </w:rPr>
        <w:t>附件</w:t>
      </w:r>
      <w:r>
        <w:rPr>
          <w:rFonts w:eastAsia="方正小标宋_GBK" w:cs="方正小标宋_GBK" w:asciiTheme="minorHAnsi" w:hAnsiTheme="minorHAnsi"/>
          <w:color w:val="000000" w:themeColor="text1"/>
        </w:rPr>
        <w:t>1:</w:t>
      </w:r>
    </w:p>
    <w:p>
      <w:pPr>
        <w:spacing w:line="460" w:lineRule="exact"/>
        <w:jc w:val="center"/>
        <w:rPr>
          <w:rFonts w:hint="eastAsia" w:ascii="方正小标宋_GBK" w:hAnsi="方正小标宋_GBK" w:eastAsia="方正小标宋_GBK" w:cs="方正小标宋_GBK"/>
          <w:color w:val="000000" w:themeColor="text1"/>
        </w:rPr>
      </w:pPr>
      <w:r>
        <w:rPr>
          <w:rFonts w:eastAsia="方正小标宋_GBK" w:cs="方正小标宋_GBK" w:asciiTheme="minorHAnsi" w:hAnsiTheme="minorHAnsi"/>
          <w:color w:val="000000" w:themeColor="text1"/>
        </w:rPr>
        <w:t>2018</w:t>
      </w:r>
      <w:r>
        <w:rPr>
          <w:rFonts w:hint="eastAsia" w:eastAsia="方正小标宋_GBK" w:cs="方正小标宋_GBK" w:asciiTheme="minorHAnsi" w:hAnsiTheme="minorHAnsi"/>
          <w:color w:val="000000" w:themeColor="text1"/>
        </w:rPr>
        <w:t>年第二季度石柱县赴高校</w:t>
      </w:r>
      <w:bookmarkStart w:id="0" w:name="_GoBack"/>
      <w:bookmarkEnd w:id="0"/>
      <w:r>
        <w:rPr>
          <w:rFonts w:hint="eastAsia" w:eastAsia="方正小标宋_GBK" w:cs="方正小标宋_GBK" w:asciiTheme="minorHAnsi" w:hAnsiTheme="minorHAnsi"/>
          <w:color w:val="000000" w:themeColor="text1"/>
        </w:rPr>
        <w:t>考核招聘专业技术人才岗位</w:t>
      </w:r>
      <w:r>
        <w:rPr>
          <w:rFonts w:hint="eastAsia" w:ascii="方正小标宋_GBK" w:hAnsi="方正小标宋_GBK" w:eastAsia="方正小标宋_GBK" w:cs="方正小标宋_GBK"/>
          <w:color w:val="000000" w:themeColor="text1"/>
        </w:rPr>
        <w:t>一览表</w:t>
      </w:r>
    </w:p>
    <w:p>
      <w:pPr>
        <w:spacing w:line="460" w:lineRule="exact"/>
        <w:jc w:val="center"/>
        <w:rPr>
          <w:rFonts w:hint="eastAsia" w:ascii="方正小标宋_GBK" w:hAnsi="方正小标宋_GBK" w:eastAsia="方正小标宋_GBK" w:cs="方正小标宋_GBK"/>
          <w:color w:val="000000" w:themeColor="text1"/>
        </w:rPr>
      </w:pPr>
    </w:p>
    <w:tbl>
      <w:tblPr>
        <w:tblStyle w:val="5"/>
        <w:tblW w:w="12868" w:type="dxa"/>
        <w:jc w:val="center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77"/>
        <w:gridCol w:w="777"/>
        <w:gridCol w:w="1160"/>
        <w:gridCol w:w="1130"/>
        <w:gridCol w:w="1039"/>
        <w:gridCol w:w="573"/>
        <w:gridCol w:w="2399"/>
        <w:gridCol w:w="1323"/>
        <w:gridCol w:w="1009"/>
        <w:gridCol w:w="2681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 w:hRule="atLeast"/>
          <w:jc w:val="center"/>
        </w:trPr>
        <w:tc>
          <w:tcPr>
            <w:tcW w:w="777" w:type="dxa"/>
            <w:vAlign w:val="center"/>
          </w:tcPr>
          <w:p>
            <w:pPr>
              <w:spacing w:line="460" w:lineRule="exact"/>
              <w:jc w:val="center"/>
              <w:rPr>
                <w:rFonts w:hint="eastAsia" w:ascii="方正仿宋_GBK" w:hAnsi="方正仿宋_GBK" w:eastAsia="方正仿宋_GBK" w:cs="方正仿宋_GBK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000000" w:themeColor="text1"/>
                <w:sz w:val="24"/>
                <w:szCs w:val="24"/>
              </w:rPr>
              <w:t>序号</w:t>
            </w:r>
          </w:p>
        </w:tc>
        <w:tc>
          <w:tcPr>
            <w:tcW w:w="777" w:type="dxa"/>
            <w:vAlign w:val="center"/>
          </w:tcPr>
          <w:p>
            <w:pPr>
              <w:spacing w:line="460" w:lineRule="exact"/>
              <w:jc w:val="center"/>
              <w:rPr>
                <w:rFonts w:hint="eastAsia" w:ascii="方正仿宋_GBK" w:hAnsi="方正仿宋_GBK" w:eastAsia="方正仿宋_GBK" w:cs="方正仿宋_GBK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000000" w:themeColor="text1"/>
                <w:sz w:val="24"/>
                <w:szCs w:val="24"/>
              </w:rPr>
              <w:t>主管</w:t>
            </w:r>
          </w:p>
          <w:p>
            <w:pPr>
              <w:spacing w:line="460" w:lineRule="exact"/>
              <w:jc w:val="center"/>
              <w:rPr>
                <w:rFonts w:hint="eastAsia" w:ascii="方正仿宋_GBK" w:hAnsi="方正仿宋_GBK" w:eastAsia="方正仿宋_GBK" w:cs="方正仿宋_GBK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000000" w:themeColor="text1"/>
                <w:sz w:val="24"/>
                <w:szCs w:val="24"/>
              </w:rPr>
              <w:t>部门</w:t>
            </w:r>
          </w:p>
        </w:tc>
        <w:tc>
          <w:tcPr>
            <w:tcW w:w="1160" w:type="dxa"/>
            <w:vAlign w:val="center"/>
          </w:tcPr>
          <w:p>
            <w:pPr>
              <w:spacing w:line="460" w:lineRule="exact"/>
              <w:jc w:val="center"/>
              <w:rPr>
                <w:rFonts w:hint="eastAsia" w:ascii="方正仿宋_GBK" w:hAnsi="方正仿宋_GBK" w:eastAsia="方正仿宋_GBK" w:cs="方正仿宋_GBK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000000" w:themeColor="text1"/>
                <w:sz w:val="24"/>
                <w:szCs w:val="24"/>
              </w:rPr>
              <w:t>招聘单位</w:t>
            </w:r>
          </w:p>
        </w:tc>
        <w:tc>
          <w:tcPr>
            <w:tcW w:w="1130" w:type="dxa"/>
            <w:vAlign w:val="center"/>
          </w:tcPr>
          <w:p>
            <w:pPr>
              <w:spacing w:line="460" w:lineRule="exact"/>
              <w:jc w:val="center"/>
              <w:rPr>
                <w:rFonts w:hint="eastAsia" w:ascii="方正仿宋_GBK" w:hAnsi="方正仿宋_GBK" w:eastAsia="方正仿宋_GBK" w:cs="方正仿宋_GBK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000000" w:themeColor="text1"/>
                <w:sz w:val="24"/>
                <w:szCs w:val="24"/>
              </w:rPr>
              <w:t>招聘岗位</w:t>
            </w:r>
          </w:p>
        </w:tc>
        <w:tc>
          <w:tcPr>
            <w:tcW w:w="1039" w:type="dxa"/>
            <w:vAlign w:val="center"/>
          </w:tcPr>
          <w:p>
            <w:pPr>
              <w:spacing w:line="460" w:lineRule="exact"/>
              <w:jc w:val="center"/>
              <w:rPr>
                <w:rFonts w:hint="eastAsia" w:ascii="方正仿宋_GBK" w:hAnsi="方正仿宋_GBK" w:eastAsia="方正仿宋_GBK" w:cs="方正仿宋_GBK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000000" w:themeColor="text1"/>
                <w:sz w:val="24"/>
                <w:szCs w:val="24"/>
              </w:rPr>
              <w:t>岗位类别及等级</w:t>
            </w:r>
          </w:p>
        </w:tc>
        <w:tc>
          <w:tcPr>
            <w:tcW w:w="573" w:type="dxa"/>
            <w:vAlign w:val="center"/>
          </w:tcPr>
          <w:p>
            <w:pPr>
              <w:spacing w:line="460" w:lineRule="exact"/>
              <w:jc w:val="center"/>
              <w:rPr>
                <w:rFonts w:hint="eastAsia" w:ascii="方正仿宋_GBK" w:hAnsi="方正仿宋_GBK" w:eastAsia="方正仿宋_GBK" w:cs="方正仿宋_GBK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000000" w:themeColor="text1"/>
                <w:sz w:val="24"/>
                <w:szCs w:val="24"/>
              </w:rPr>
              <w:t>招聘名额</w:t>
            </w:r>
          </w:p>
        </w:tc>
        <w:tc>
          <w:tcPr>
            <w:tcW w:w="2399" w:type="dxa"/>
            <w:vAlign w:val="center"/>
          </w:tcPr>
          <w:p>
            <w:pPr>
              <w:spacing w:line="460" w:lineRule="exact"/>
              <w:jc w:val="center"/>
              <w:rPr>
                <w:rFonts w:hint="eastAsia" w:ascii="方正仿宋_GBK" w:hAnsi="方正仿宋_GBK" w:eastAsia="方正仿宋_GBK" w:cs="方正仿宋_GBK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000000" w:themeColor="text1"/>
                <w:sz w:val="24"/>
                <w:szCs w:val="24"/>
              </w:rPr>
              <w:t>学历（学位）</w:t>
            </w:r>
          </w:p>
        </w:tc>
        <w:tc>
          <w:tcPr>
            <w:tcW w:w="1323" w:type="dxa"/>
            <w:vAlign w:val="center"/>
          </w:tcPr>
          <w:p>
            <w:pPr>
              <w:spacing w:line="460" w:lineRule="exact"/>
              <w:jc w:val="center"/>
              <w:rPr>
                <w:rFonts w:hint="eastAsia" w:ascii="方正仿宋_GBK" w:hAnsi="方正仿宋_GBK" w:eastAsia="方正仿宋_GBK" w:cs="方正仿宋_GBK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000000" w:themeColor="text1"/>
                <w:sz w:val="24"/>
                <w:szCs w:val="24"/>
              </w:rPr>
              <w:t>专业</w:t>
            </w:r>
          </w:p>
        </w:tc>
        <w:tc>
          <w:tcPr>
            <w:tcW w:w="1009" w:type="dxa"/>
            <w:vAlign w:val="center"/>
          </w:tcPr>
          <w:p>
            <w:pPr>
              <w:spacing w:line="460" w:lineRule="exact"/>
              <w:jc w:val="center"/>
              <w:rPr>
                <w:rFonts w:hint="eastAsia" w:ascii="方正仿宋_GBK" w:hAnsi="方正仿宋_GBK" w:eastAsia="方正仿宋_GBK" w:cs="方正仿宋_GBK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000000" w:themeColor="text1"/>
                <w:sz w:val="24"/>
                <w:szCs w:val="24"/>
              </w:rPr>
              <w:t>年龄</w:t>
            </w:r>
          </w:p>
        </w:tc>
        <w:tc>
          <w:tcPr>
            <w:tcW w:w="2681" w:type="dxa"/>
            <w:vAlign w:val="center"/>
          </w:tcPr>
          <w:p>
            <w:pPr>
              <w:spacing w:line="460" w:lineRule="exact"/>
              <w:jc w:val="center"/>
              <w:rPr>
                <w:rFonts w:hint="eastAsia" w:ascii="方正仿宋_GBK" w:hAnsi="方正仿宋_GBK" w:eastAsia="方正仿宋_GBK" w:cs="方正仿宋_GBK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000000" w:themeColor="text1"/>
                <w:sz w:val="24"/>
                <w:szCs w:val="24"/>
              </w:rPr>
              <w:t>其他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 w:hRule="atLeast"/>
          <w:jc w:val="center"/>
        </w:trPr>
        <w:tc>
          <w:tcPr>
            <w:tcW w:w="777" w:type="dxa"/>
            <w:vAlign w:val="center"/>
          </w:tcPr>
          <w:p>
            <w:pPr>
              <w:spacing w:line="460" w:lineRule="exact"/>
              <w:jc w:val="center"/>
              <w:rPr>
                <w:rFonts w:hint="eastAsia" w:ascii="方正仿宋_GBK" w:hAnsi="方正仿宋_GBK" w:eastAsia="方正仿宋_GBK" w:cs="方正仿宋_GBK"/>
                <w:color w:val="000000" w:themeColor="text1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777" w:type="dxa"/>
            <w:vMerge w:val="restart"/>
            <w:vAlign w:val="center"/>
          </w:tcPr>
          <w:p>
            <w:pPr>
              <w:spacing w:line="460" w:lineRule="exact"/>
              <w:jc w:val="center"/>
              <w:rPr>
                <w:rFonts w:hint="eastAsia" w:ascii="方正仿宋_GBK" w:hAnsi="方正仿宋_GBK" w:eastAsia="方正仿宋_GBK" w:cs="方正仿宋_GBK"/>
                <w:color w:val="000000" w:themeColor="text1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 w:themeColor="text1"/>
                <w:sz w:val="24"/>
                <w:szCs w:val="24"/>
              </w:rPr>
              <w:t>县畜牧产业发展中心</w:t>
            </w:r>
          </w:p>
        </w:tc>
        <w:tc>
          <w:tcPr>
            <w:tcW w:w="1160" w:type="dxa"/>
            <w:vAlign w:val="center"/>
          </w:tcPr>
          <w:p>
            <w:pPr>
              <w:spacing w:line="460" w:lineRule="exact"/>
              <w:jc w:val="center"/>
              <w:rPr>
                <w:rFonts w:hint="eastAsia" w:ascii="方正仿宋_GBK" w:hAnsi="方正仿宋_GBK" w:eastAsia="方正仿宋_GBK" w:cs="方正仿宋_GBK"/>
                <w:color w:val="000000" w:themeColor="text1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 w:themeColor="text1"/>
                <w:sz w:val="24"/>
                <w:szCs w:val="24"/>
              </w:rPr>
              <w:t>县动物疫病预防控制站</w:t>
            </w:r>
          </w:p>
        </w:tc>
        <w:tc>
          <w:tcPr>
            <w:tcW w:w="1130" w:type="dxa"/>
            <w:vAlign w:val="center"/>
          </w:tcPr>
          <w:p>
            <w:pPr>
              <w:spacing w:line="460" w:lineRule="exact"/>
              <w:jc w:val="center"/>
              <w:rPr>
                <w:rFonts w:hint="eastAsia" w:ascii="方正仿宋_GBK" w:hAnsi="方正仿宋_GBK" w:eastAsia="方正仿宋_GBK" w:cs="方正仿宋_GBK"/>
                <w:color w:val="000000" w:themeColor="text1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 w:themeColor="text1"/>
                <w:sz w:val="24"/>
                <w:szCs w:val="24"/>
              </w:rPr>
              <w:t>实验室诊断及监测</w:t>
            </w:r>
          </w:p>
        </w:tc>
        <w:tc>
          <w:tcPr>
            <w:tcW w:w="1039" w:type="dxa"/>
            <w:vAlign w:val="center"/>
          </w:tcPr>
          <w:p>
            <w:pPr>
              <w:spacing w:line="460" w:lineRule="exact"/>
              <w:jc w:val="center"/>
              <w:rPr>
                <w:rFonts w:hint="eastAsia" w:ascii="方正仿宋_GBK" w:hAnsi="方正仿宋_GBK" w:eastAsia="方正仿宋_GBK" w:cs="方正仿宋_GBK"/>
                <w:color w:val="000000" w:themeColor="text1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 w:themeColor="text1"/>
                <w:sz w:val="24"/>
                <w:szCs w:val="24"/>
              </w:rPr>
              <w:t>专技12级及以下</w:t>
            </w:r>
          </w:p>
        </w:tc>
        <w:tc>
          <w:tcPr>
            <w:tcW w:w="573" w:type="dxa"/>
            <w:vAlign w:val="center"/>
          </w:tcPr>
          <w:p>
            <w:pPr>
              <w:spacing w:line="460" w:lineRule="exact"/>
              <w:jc w:val="center"/>
              <w:rPr>
                <w:rFonts w:hint="eastAsia" w:ascii="方正仿宋_GBK" w:hAnsi="方正仿宋_GBK" w:eastAsia="方正仿宋_GBK" w:cs="方正仿宋_GBK"/>
                <w:color w:val="000000" w:themeColor="text1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399" w:type="dxa"/>
            <w:vAlign w:val="center"/>
          </w:tcPr>
          <w:p>
            <w:pPr>
              <w:spacing w:line="460" w:lineRule="exact"/>
              <w:jc w:val="center"/>
              <w:rPr>
                <w:rFonts w:hint="eastAsia" w:ascii="方正仿宋_GBK" w:hAnsi="方正仿宋_GBK" w:eastAsia="方正仿宋_GBK" w:cs="方正仿宋_GBK"/>
                <w:color w:val="000000" w:themeColor="text1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 w:themeColor="text1"/>
                <w:sz w:val="24"/>
                <w:szCs w:val="24"/>
              </w:rPr>
              <w:t>全日制普通高校研究生学历及相应学位</w:t>
            </w:r>
          </w:p>
        </w:tc>
        <w:tc>
          <w:tcPr>
            <w:tcW w:w="1323" w:type="dxa"/>
            <w:vAlign w:val="center"/>
          </w:tcPr>
          <w:p>
            <w:pPr>
              <w:spacing w:line="460" w:lineRule="exact"/>
              <w:jc w:val="center"/>
              <w:rPr>
                <w:rFonts w:hint="eastAsia" w:ascii="方正仿宋_GBK" w:hAnsi="方正仿宋_GBK" w:eastAsia="方正仿宋_GBK" w:cs="方正仿宋_GBK"/>
                <w:color w:val="000000" w:themeColor="text1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 w:themeColor="text1"/>
                <w:sz w:val="24"/>
                <w:szCs w:val="24"/>
              </w:rPr>
              <w:t>动物医学类(临床方向)</w:t>
            </w:r>
          </w:p>
        </w:tc>
        <w:tc>
          <w:tcPr>
            <w:tcW w:w="1009" w:type="dxa"/>
            <w:vAlign w:val="center"/>
          </w:tcPr>
          <w:p>
            <w:pPr>
              <w:spacing w:line="460" w:lineRule="exact"/>
              <w:jc w:val="center"/>
              <w:rPr>
                <w:rFonts w:hint="eastAsia" w:ascii="方正仿宋_GBK" w:hAnsi="方正仿宋_GBK" w:eastAsia="方正仿宋_GBK" w:cs="方正仿宋_GBK"/>
                <w:color w:val="000000" w:themeColor="text1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 w:themeColor="text1"/>
                <w:sz w:val="24"/>
                <w:szCs w:val="24"/>
              </w:rPr>
              <w:t>35周岁及以下</w:t>
            </w:r>
          </w:p>
        </w:tc>
        <w:tc>
          <w:tcPr>
            <w:tcW w:w="2681" w:type="dxa"/>
            <w:vAlign w:val="center"/>
          </w:tcPr>
          <w:p>
            <w:pPr>
              <w:spacing w:line="460" w:lineRule="exact"/>
              <w:jc w:val="center"/>
              <w:rPr>
                <w:rFonts w:hint="eastAsia" w:ascii="方正仿宋_GBK" w:hAnsi="方正仿宋_GBK" w:eastAsia="方正仿宋_GBK" w:cs="方正仿宋_GBK"/>
                <w:color w:val="000000" w:themeColor="text1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 w:themeColor="text1"/>
                <w:sz w:val="24"/>
                <w:szCs w:val="24"/>
              </w:rPr>
              <w:t>本科须为动物医学专业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 w:hRule="atLeast"/>
          <w:jc w:val="center"/>
        </w:trPr>
        <w:tc>
          <w:tcPr>
            <w:tcW w:w="777" w:type="dxa"/>
            <w:vAlign w:val="center"/>
          </w:tcPr>
          <w:p>
            <w:pPr>
              <w:spacing w:line="460" w:lineRule="exact"/>
              <w:jc w:val="center"/>
              <w:rPr>
                <w:rFonts w:hint="eastAsia" w:ascii="方正仿宋_GBK" w:hAnsi="方正仿宋_GBK" w:eastAsia="方正仿宋_GBK" w:cs="方正仿宋_GBK"/>
                <w:color w:val="000000" w:themeColor="text1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777" w:type="dxa"/>
            <w:vMerge w:val="continue"/>
            <w:vAlign w:val="center"/>
          </w:tcPr>
          <w:p>
            <w:pPr>
              <w:spacing w:line="460" w:lineRule="exact"/>
              <w:jc w:val="center"/>
              <w:rPr>
                <w:rFonts w:hint="eastAsia" w:ascii="方正仿宋_GBK" w:hAnsi="方正仿宋_GBK" w:eastAsia="方正仿宋_GBK" w:cs="方正仿宋_GBK"/>
                <w:color w:val="000000" w:themeColor="text1"/>
                <w:sz w:val="24"/>
                <w:szCs w:val="24"/>
              </w:rPr>
            </w:pPr>
          </w:p>
        </w:tc>
        <w:tc>
          <w:tcPr>
            <w:tcW w:w="1160" w:type="dxa"/>
            <w:vAlign w:val="center"/>
          </w:tcPr>
          <w:p>
            <w:pPr>
              <w:spacing w:line="460" w:lineRule="exact"/>
              <w:jc w:val="center"/>
              <w:rPr>
                <w:rFonts w:hint="eastAsia" w:ascii="方正仿宋_GBK" w:hAnsi="方正仿宋_GBK" w:eastAsia="方正仿宋_GBK" w:cs="方正仿宋_GBK"/>
                <w:color w:val="000000" w:themeColor="text1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 w:themeColor="text1"/>
                <w:sz w:val="24"/>
                <w:szCs w:val="24"/>
              </w:rPr>
              <w:t>县畜牧产业发展中心</w:t>
            </w:r>
          </w:p>
        </w:tc>
        <w:tc>
          <w:tcPr>
            <w:tcW w:w="1130" w:type="dxa"/>
            <w:vAlign w:val="center"/>
          </w:tcPr>
          <w:p>
            <w:pPr>
              <w:spacing w:line="460" w:lineRule="exact"/>
              <w:jc w:val="center"/>
              <w:rPr>
                <w:rFonts w:hint="eastAsia" w:ascii="方正仿宋_GBK" w:hAnsi="方正仿宋_GBK" w:eastAsia="方正仿宋_GBK" w:cs="方正仿宋_GBK"/>
                <w:color w:val="000000" w:themeColor="text1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 w:themeColor="text1"/>
                <w:sz w:val="24"/>
                <w:szCs w:val="24"/>
              </w:rPr>
              <w:t>中蜂产业发展及管理</w:t>
            </w:r>
          </w:p>
        </w:tc>
        <w:tc>
          <w:tcPr>
            <w:tcW w:w="1039" w:type="dxa"/>
            <w:vAlign w:val="center"/>
          </w:tcPr>
          <w:p>
            <w:pPr>
              <w:spacing w:line="460" w:lineRule="exact"/>
              <w:jc w:val="center"/>
              <w:rPr>
                <w:rFonts w:hint="eastAsia" w:ascii="方正仿宋_GBK" w:hAnsi="方正仿宋_GBK" w:eastAsia="方正仿宋_GBK" w:cs="方正仿宋_GBK"/>
                <w:color w:val="000000" w:themeColor="text1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 w:themeColor="text1"/>
                <w:sz w:val="24"/>
                <w:szCs w:val="24"/>
              </w:rPr>
              <w:t>专技12级及以下</w:t>
            </w:r>
          </w:p>
        </w:tc>
        <w:tc>
          <w:tcPr>
            <w:tcW w:w="573" w:type="dxa"/>
            <w:vAlign w:val="center"/>
          </w:tcPr>
          <w:p>
            <w:pPr>
              <w:spacing w:line="460" w:lineRule="exact"/>
              <w:jc w:val="center"/>
              <w:rPr>
                <w:rFonts w:hint="eastAsia" w:ascii="方正仿宋_GBK" w:hAnsi="方正仿宋_GBK" w:eastAsia="方正仿宋_GBK" w:cs="方正仿宋_GBK"/>
                <w:color w:val="000000" w:themeColor="text1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399" w:type="dxa"/>
            <w:vAlign w:val="center"/>
          </w:tcPr>
          <w:p>
            <w:pPr>
              <w:spacing w:line="460" w:lineRule="exact"/>
              <w:jc w:val="center"/>
              <w:rPr>
                <w:rFonts w:hint="eastAsia" w:ascii="方正仿宋_GBK" w:hAnsi="方正仿宋_GBK" w:eastAsia="方正仿宋_GBK" w:cs="方正仿宋_GBK"/>
                <w:color w:val="000000" w:themeColor="text1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 w:themeColor="text1"/>
                <w:sz w:val="24"/>
                <w:szCs w:val="24"/>
              </w:rPr>
              <w:t>全日制普通高校研究生学历及相应学位</w:t>
            </w:r>
          </w:p>
        </w:tc>
        <w:tc>
          <w:tcPr>
            <w:tcW w:w="1323" w:type="dxa"/>
            <w:vAlign w:val="center"/>
          </w:tcPr>
          <w:p>
            <w:pPr>
              <w:spacing w:line="460" w:lineRule="exact"/>
              <w:jc w:val="center"/>
              <w:rPr>
                <w:rFonts w:hint="eastAsia" w:ascii="方正仿宋_GBK" w:hAnsi="方正仿宋_GBK" w:eastAsia="方正仿宋_GBK" w:cs="方正仿宋_GBK"/>
                <w:color w:val="000000" w:themeColor="text1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 w:themeColor="text1"/>
                <w:sz w:val="24"/>
                <w:szCs w:val="24"/>
              </w:rPr>
              <w:t>特种经济动物饲养（蜂学方向）</w:t>
            </w:r>
          </w:p>
        </w:tc>
        <w:tc>
          <w:tcPr>
            <w:tcW w:w="1009" w:type="dxa"/>
            <w:vAlign w:val="center"/>
          </w:tcPr>
          <w:p>
            <w:pPr>
              <w:spacing w:line="460" w:lineRule="exact"/>
              <w:jc w:val="center"/>
              <w:rPr>
                <w:rFonts w:hint="eastAsia" w:ascii="方正仿宋_GBK" w:hAnsi="方正仿宋_GBK" w:eastAsia="方正仿宋_GBK" w:cs="方正仿宋_GBK"/>
                <w:color w:val="000000" w:themeColor="text1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 w:themeColor="text1"/>
                <w:sz w:val="24"/>
                <w:szCs w:val="24"/>
              </w:rPr>
              <w:t>35周岁及以下</w:t>
            </w:r>
          </w:p>
        </w:tc>
        <w:tc>
          <w:tcPr>
            <w:tcW w:w="2681" w:type="dxa"/>
            <w:vAlign w:val="center"/>
          </w:tcPr>
          <w:p>
            <w:pPr>
              <w:spacing w:line="460" w:lineRule="exact"/>
              <w:jc w:val="center"/>
              <w:rPr>
                <w:rFonts w:hint="eastAsia" w:ascii="方正仿宋_GBK" w:hAnsi="方正仿宋_GBK" w:eastAsia="方正仿宋_GBK" w:cs="方正仿宋_GBK"/>
                <w:color w:val="000000" w:themeColor="text1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 w:themeColor="text1"/>
                <w:sz w:val="24"/>
                <w:szCs w:val="24"/>
              </w:rPr>
              <w:t>本科须为蜂学相关专业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 w:hRule="atLeast"/>
          <w:jc w:val="center"/>
        </w:trPr>
        <w:tc>
          <w:tcPr>
            <w:tcW w:w="777" w:type="dxa"/>
            <w:vAlign w:val="center"/>
          </w:tcPr>
          <w:p>
            <w:pPr>
              <w:spacing w:line="460" w:lineRule="exact"/>
              <w:jc w:val="center"/>
              <w:rPr>
                <w:rFonts w:hint="eastAsia" w:ascii="方正仿宋_GBK" w:hAnsi="方正仿宋_GBK" w:eastAsia="方正仿宋_GBK" w:cs="方正仿宋_GBK"/>
                <w:color w:val="000000" w:themeColor="text1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777" w:type="dxa"/>
            <w:vAlign w:val="center"/>
          </w:tcPr>
          <w:p>
            <w:pPr>
              <w:spacing w:line="460" w:lineRule="exact"/>
              <w:jc w:val="center"/>
              <w:rPr>
                <w:rFonts w:hint="eastAsia" w:ascii="方正仿宋_GBK" w:hAnsi="方正仿宋_GBK" w:eastAsia="方正仿宋_GBK" w:cs="方正仿宋_GBK"/>
                <w:color w:val="000000" w:themeColor="text1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 w:themeColor="text1"/>
                <w:sz w:val="24"/>
                <w:szCs w:val="24"/>
              </w:rPr>
              <w:t>县旅发委</w:t>
            </w:r>
          </w:p>
        </w:tc>
        <w:tc>
          <w:tcPr>
            <w:tcW w:w="1160" w:type="dxa"/>
            <w:vAlign w:val="center"/>
          </w:tcPr>
          <w:p>
            <w:pPr>
              <w:spacing w:line="460" w:lineRule="exact"/>
              <w:jc w:val="center"/>
              <w:rPr>
                <w:rFonts w:hint="eastAsia" w:ascii="方正仿宋_GBK" w:hAnsi="方正仿宋_GBK" w:eastAsia="方正仿宋_GBK" w:cs="方正仿宋_GBK"/>
                <w:color w:val="000000" w:themeColor="text1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 w:themeColor="text1"/>
                <w:sz w:val="24"/>
                <w:szCs w:val="24"/>
              </w:rPr>
              <w:t>县旅游营销中心</w:t>
            </w:r>
          </w:p>
        </w:tc>
        <w:tc>
          <w:tcPr>
            <w:tcW w:w="1130" w:type="dxa"/>
            <w:vAlign w:val="center"/>
          </w:tcPr>
          <w:p>
            <w:pPr>
              <w:spacing w:line="460" w:lineRule="exact"/>
              <w:jc w:val="center"/>
              <w:rPr>
                <w:rFonts w:hint="eastAsia" w:ascii="方正仿宋_GBK" w:hAnsi="方正仿宋_GBK" w:eastAsia="方正仿宋_GBK" w:cs="方正仿宋_GBK"/>
                <w:color w:val="000000" w:themeColor="text1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 w:themeColor="text1"/>
                <w:sz w:val="24"/>
                <w:szCs w:val="24"/>
              </w:rPr>
              <w:t>智慧旅游建设</w:t>
            </w:r>
          </w:p>
        </w:tc>
        <w:tc>
          <w:tcPr>
            <w:tcW w:w="1039" w:type="dxa"/>
            <w:vAlign w:val="center"/>
          </w:tcPr>
          <w:p>
            <w:pPr>
              <w:spacing w:line="460" w:lineRule="exact"/>
              <w:jc w:val="center"/>
              <w:rPr>
                <w:rFonts w:hint="eastAsia" w:ascii="方正仿宋_GBK" w:hAnsi="方正仿宋_GBK" w:eastAsia="方正仿宋_GBK" w:cs="方正仿宋_GBK"/>
                <w:color w:val="000000" w:themeColor="text1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 w:themeColor="text1"/>
                <w:sz w:val="24"/>
                <w:szCs w:val="24"/>
              </w:rPr>
              <w:t>专技12级及以下</w:t>
            </w:r>
          </w:p>
        </w:tc>
        <w:tc>
          <w:tcPr>
            <w:tcW w:w="573" w:type="dxa"/>
            <w:vAlign w:val="center"/>
          </w:tcPr>
          <w:p>
            <w:pPr>
              <w:spacing w:line="460" w:lineRule="exact"/>
              <w:jc w:val="center"/>
              <w:rPr>
                <w:rFonts w:hint="eastAsia" w:ascii="方正仿宋_GBK" w:hAnsi="方正仿宋_GBK" w:eastAsia="方正仿宋_GBK" w:cs="方正仿宋_GBK"/>
                <w:color w:val="000000" w:themeColor="text1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399" w:type="dxa"/>
            <w:vAlign w:val="center"/>
          </w:tcPr>
          <w:p>
            <w:pPr>
              <w:spacing w:line="460" w:lineRule="exact"/>
              <w:jc w:val="center"/>
              <w:rPr>
                <w:rFonts w:hint="eastAsia" w:ascii="方正仿宋_GBK" w:hAnsi="方正仿宋_GBK" w:eastAsia="方正仿宋_GBK" w:cs="方正仿宋_GBK"/>
                <w:color w:val="000000" w:themeColor="text1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 w:themeColor="text1"/>
                <w:sz w:val="24"/>
                <w:szCs w:val="24"/>
              </w:rPr>
              <w:t>全日制普通高校研究生学历及相应学位</w:t>
            </w:r>
          </w:p>
        </w:tc>
        <w:tc>
          <w:tcPr>
            <w:tcW w:w="1323" w:type="dxa"/>
            <w:vAlign w:val="center"/>
          </w:tcPr>
          <w:p>
            <w:pPr>
              <w:spacing w:line="460" w:lineRule="exact"/>
              <w:jc w:val="center"/>
              <w:rPr>
                <w:rFonts w:hint="eastAsia" w:ascii="方正仿宋_GBK" w:hAnsi="方正仿宋_GBK" w:eastAsia="方正仿宋_GBK" w:cs="方正仿宋_GBK"/>
                <w:color w:val="000000" w:themeColor="text1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 w:themeColor="text1"/>
                <w:sz w:val="24"/>
                <w:szCs w:val="24"/>
              </w:rPr>
              <w:t>计算机类</w:t>
            </w:r>
          </w:p>
        </w:tc>
        <w:tc>
          <w:tcPr>
            <w:tcW w:w="1009" w:type="dxa"/>
            <w:vAlign w:val="center"/>
          </w:tcPr>
          <w:p>
            <w:pPr>
              <w:spacing w:line="460" w:lineRule="exact"/>
              <w:jc w:val="center"/>
              <w:rPr>
                <w:rFonts w:hint="eastAsia" w:ascii="方正仿宋_GBK" w:hAnsi="方正仿宋_GBK" w:eastAsia="方正仿宋_GBK" w:cs="方正仿宋_GBK"/>
                <w:color w:val="000000" w:themeColor="text1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 w:themeColor="text1"/>
                <w:sz w:val="24"/>
                <w:szCs w:val="24"/>
              </w:rPr>
              <w:t>35周岁及以下</w:t>
            </w:r>
          </w:p>
        </w:tc>
        <w:tc>
          <w:tcPr>
            <w:tcW w:w="2681" w:type="dxa"/>
            <w:vAlign w:val="center"/>
          </w:tcPr>
          <w:p>
            <w:pPr>
              <w:spacing w:line="460" w:lineRule="exact"/>
              <w:jc w:val="center"/>
              <w:rPr>
                <w:rFonts w:hint="eastAsia" w:ascii="方正仿宋_GBK" w:hAnsi="方正仿宋_GBK" w:eastAsia="方正仿宋_GBK" w:cs="方正仿宋_GBK"/>
                <w:color w:val="000000" w:themeColor="text1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 w:hRule="atLeast"/>
          <w:jc w:val="center"/>
        </w:trPr>
        <w:tc>
          <w:tcPr>
            <w:tcW w:w="777" w:type="dxa"/>
            <w:vAlign w:val="center"/>
          </w:tcPr>
          <w:p>
            <w:pPr>
              <w:spacing w:line="460" w:lineRule="exact"/>
              <w:jc w:val="center"/>
              <w:rPr>
                <w:rFonts w:hint="eastAsia" w:ascii="方正仿宋_GBK" w:hAnsi="方正仿宋_GBK" w:eastAsia="方正仿宋_GBK" w:cs="方正仿宋_GBK"/>
                <w:color w:val="000000" w:themeColor="text1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777" w:type="dxa"/>
            <w:vMerge w:val="restart"/>
            <w:vAlign w:val="center"/>
          </w:tcPr>
          <w:p>
            <w:pPr>
              <w:spacing w:line="460" w:lineRule="exact"/>
              <w:jc w:val="center"/>
              <w:rPr>
                <w:rFonts w:hint="eastAsia" w:ascii="方正仿宋_GBK" w:hAnsi="方正仿宋_GBK" w:eastAsia="方正仿宋_GBK" w:cs="方正仿宋_GBK"/>
                <w:color w:val="000000" w:themeColor="text1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 w:themeColor="text1"/>
                <w:sz w:val="24"/>
                <w:szCs w:val="24"/>
              </w:rPr>
              <w:t>县农委</w:t>
            </w:r>
          </w:p>
        </w:tc>
        <w:tc>
          <w:tcPr>
            <w:tcW w:w="1160" w:type="dxa"/>
            <w:vAlign w:val="center"/>
          </w:tcPr>
          <w:p>
            <w:pPr>
              <w:spacing w:line="460" w:lineRule="exact"/>
              <w:jc w:val="center"/>
              <w:rPr>
                <w:rFonts w:hint="eastAsia" w:ascii="方正仿宋_GBK" w:hAnsi="方正仿宋_GBK" w:eastAsia="方正仿宋_GBK" w:cs="方正仿宋_GBK"/>
                <w:color w:val="000000" w:themeColor="text1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 w:themeColor="text1"/>
                <w:sz w:val="24"/>
                <w:szCs w:val="24"/>
              </w:rPr>
              <w:t>县农产品质量安全中心</w:t>
            </w:r>
          </w:p>
        </w:tc>
        <w:tc>
          <w:tcPr>
            <w:tcW w:w="1130" w:type="dxa"/>
            <w:vAlign w:val="center"/>
          </w:tcPr>
          <w:p>
            <w:pPr>
              <w:spacing w:line="460" w:lineRule="exact"/>
              <w:jc w:val="center"/>
              <w:rPr>
                <w:rFonts w:hint="eastAsia" w:ascii="方正仿宋_GBK" w:hAnsi="方正仿宋_GBK" w:eastAsia="方正仿宋_GBK" w:cs="方正仿宋_GBK"/>
                <w:color w:val="000000" w:themeColor="text1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 w:themeColor="text1"/>
                <w:sz w:val="24"/>
                <w:szCs w:val="24"/>
              </w:rPr>
              <w:t>农产品安全监测</w:t>
            </w:r>
          </w:p>
        </w:tc>
        <w:tc>
          <w:tcPr>
            <w:tcW w:w="1039" w:type="dxa"/>
            <w:vAlign w:val="center"/>
          </w:tcPr>
          <w:p>
            <w:pPr>
              <w:spacing w:line="460" w:lineRule="exact"/>
              <w:jc w:val="center"/>
              <w:rPr>
                <w:rFonts w:hint="eastAsia" w:ascii="方正仿宋_GBK" w:hAnsi="方正仿宋_GBK" w:eastAsia="方正仿宋_GBK" w:cs="方正仿宋_GBK"/>
                <w:color w:val="000000" w:themeColor="text1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 w:themeColor="text1"/>
                <w:sz w:val="24"/>
                <w:szCs w:val="24"/>
              </w:rPr>
              <w:t>专技12级及以下</w:t>
            </w:r>
          </w:p>
        </w:tc>
        <w:tc>
          <w:tcPr>
            <w:tcW w:w="573" w:type="dxa"/>
            <w:vAlign w:val="center"/>
          </w:tcPr>
          <w:p>
            <w:pPr>
              <w:spacing w:line="460" w:lineRule="exact"/>
              <w:jc w:val="center"/>
              <w:rPr>
                <w:rFonts w:hint="eastAsia" w:ascii="方正仿宋_GBK" w:hAnsi="方正仿宋_GBK" w:eastAsia="方正仿宋_GBK" w:cs="方正仿宋_GBK"/>
                <w:color w:val="000000" w:themeColor="text1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399" w:type="dxa"/>
            <w:vAlign w:val="center"/>
          </w:tcPr>
          <w:p>
            <w:pPr>
              <w:spacing w:line="460" w:lineRule="exact"/>
              <w:jc w:val="center"/>
              <w:rPr>
                <w:rFonts w:hint="eastAsia" w:ascii="方正仿宋_GBK" w:hAnsi="方正仿宋_GBK" w:eastAsia="方正仿宋_GBK" w:cs="方正仿宋_GBK"/>
                <w:color w:val="000000" w:themeColor="text1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 w:themeColor="text1"/>
                <w:sz w:val="24"/>
                <w:szCs w:val="24"/>
              </w:rPr>
              <w:t>全日制普通高校研究生学历及相应学位</w:t>
            </w:r>
          </w:p>
        </w:tc>
        <w:tc>
          <w:tcPr>
            <w:tcW w:w="1323" w:type="dxa"/>
            <w:vAlign w:val="center"/>
          </w:tcPr>
          <w:p>
            <w:pPr>
              <w:spacing w:line="460" w:lineRule="exact"/>
              <w:jc w:val="center"/>
              <w:rPr>
                <w:rFonts w:hint="eastAsia" w:ascii="方正仿宋_GBK" w:hAnsi="方正仿宋_GBK" w:eastAsia="方正仿宋_GBK" w:cs="方正仿宋_GBK"/>
                <w:color w:val="000000" w:themeColor="text1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 w:themeColor="text1"/>
                <w:sz w:val="24"/>
                <w:szCs w:val="24"/>
              </w:rPr>
              <w:t>植物生产类</w:t>
            </w:r>
          </w:p>
        </w:tc>
        <w:tc>
          <w:tcPr>
            <w:tcW w:w="1009" w:type="dxa"/>
            <w:vAlign w:val="center"/>
          </w:tcPr>
          <w:p>
            <w:pPr>
              <w:spacing w:line="460" w:lineRule="exact"/>
              <w:jc w:val="center"/>
              <w:rPr>
                <w:rFonts w:hint="eastAsia" w:ascii="方正仿宋_GBK" w:hAnsi="方正仿宋_GBK" w:eastAsia="方正仿宋_GBK" w:cs="方正仿宋_GBK"/>
                <w:color w:val="000000" w:themeColor="text1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 w:themeColor="text1"/>
                <w:sz w:val="24"/>
                <w:szCs w:val="24"/>
              </w:rPr>
              <w:t>35周岁及以下</w:t>
            </w:r>
          </w:p>
        </w:tc>
        <w:tc>
          <w:tcPr>
            <w:tcW w:w="2681" w:type="dxa"/>
            <w:vAlign w:val="center"/>
          </w:tcPr>
          <w:p>
            <w:pPr>
              <w:spacing w:line="460" w:lineRule="exact"/>
              <w:jc w:val="center"/>
              <w:rPr>
                <w:rFonts w:hint="eastAsia" w:ascii="方正仿宋_GBK" w:hAnsi="方正仿宋_GBK" w:eastAsia="方正仿宋_GBK" w:cs="方正仿宋_GBK"/>
                <w:color w:val="000000" w:themeColor="text1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 w:themeColor="text1"/>
                <w:sz w:val="24"/>
                <w:szCs w:val="24"/>
              </w:rPr>
              <w:t>具有相关中级</w:t>
            </w:r>
            <w:r>
              <w:rPr>
                <w:rFonts w:hint="eastAsia" w:ascii="方正仿宋_GBK" w:hAnsi="方正仿宋_GBK" w:eastAsia="方正仿宋_GBK" w:cs="方正仿宋_GBK"/>
                <w:color w:val="000000" w:themeColor="text1"/>
                <w:sz w:val="24"/>
                <w:szCs w:val="24"/>
                <w:lang w:eastAsia="zh-CN"/>
              </w:rPr>
              <w:t>及</w:t>
            </w:r>
            <w:r>
              <w:rPr>
                <w:rFonts w:hint="eastAsia" w:ascii="方正仿宋_GBK" w:hAnsi="方正仿宋_GBK" w:eastAsia="方正仿宋_GBK" w:cs="方正仿宋_GBK"/>
                <w:color w:val="000000" w:themeColor="text1"/>
                <w:sz w:val="24"/>
                <w:szCs w:val="24"/>
              </w:rPr>
              <w:t>以上职称者，可放宽到全日制普通高校本科学历并取得相应学位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 w:hRule="atLeast"/>
          <w:jc w:val="center"/>
        </w:trPr>
        <w:tc>
          <w:tcPr>
            <w:tcW w:w="777" w:type="dxa"/>
            <w:vAlign w:val="center"/>
          </w:tcPr>
          <w:p>
            <w:pPr>
              <w:spacing w:line="460" w:lineRule="exact"/>
              <w:jc w:val="center"/>
              <w:rPr>
                <w:rFonts w:hint="eastAsia" w:ascii="方正仿宋_GBK" w:hAnsi="方正仿宋_GBK" w:eastAsia="方正仿宋_GBK" w:cs="方正仿宋_GBK"/>
                <w:color w:val="000000" w:themeColor="text1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777" w:type="dxa"/>
            <w:vMerge w:val="continue"/>
            <w:vAlign w:val="center"/>
          </w:tcPr>
          <w:p>
            <w:pPr>
              <w:spacing w:line="460" w:lineRule="exact"/>
              <w:jc w:val="center"/>
              <w:rPr>
                <w:rFonts w:hint="eastAsia" w:ascii="方正仿宋_GBK" w:hAnsi="方正仿宋_GBK" w:eastAsia="方正仿宋_GBK" w:cs="方正仿宋_GBK"/>
                <w:color w:val="000000" w:themeColor="text1"/>
                <w:sz w:val="24"/>
                <w:szCs w:val="24"/>
              </w:rPr>
            </w:pPr>
          </w:p>
        </w:tc>
        <w:tc>
          <w:tcPr>
            <w:tcW w:w="1160" w:type="dxa"/>
            <w:vAlign w:val="center"/>
          </w:tcPr>
          <w:p>
            <w:pPr>
              <w:spacing w:line="460" w:lineRule="exact"/>
              <w:jc w:val="center"/>
              <w:rPr>
                <w:rFonts w:hint="eastAsia" w:ascii="方正仿宋_GBK" w:hAnsi="方正仿宋_GBK" w:eastAsia="方正仿宋_GBK" w:cs="方正仿宋_GBK"/>
                <w:color w:val="000000" w:themeColor="text1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 w:themeColor="text1"/>
                <w:sz w:val="24"/>
                <w:szCs w:val="24"/>
              </w:rPr>
              <w:t>县农业综合开发中心</w:t>
            </w:r>
          </w:p>
        </w:tc>
        <w:tc>
          <w:tcPr>
            <w:tcW w:w="1130" w:type="dxa"/>
            <w:vAlign w:val="center"/>
          </w:tcPr>
          <w:p>
            <w:pPr>
              <w:spacing w:line="460" w:lineRule="exact"/>
              <w:jc w:val="center"/>
              <w:rPr>
                <w:rFonts w:hint="eastAsia" w:ascii="方正仿宋_GBK" w:hAnsi="方正仿宋_GBK" w:eastAsia="方正仿宋_GBK" w:cs="方正仿宋_GBK"/>
                <w:color w:val="000000" w:themeColor="text1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 w:themeColor="text1"/>
                <w:sz w:val="24"/>
                <w:szCs w:val="24"/>
              </w:rPr>
              <w:t>工程设计预算管理</w:t>
            </w:r>
          </w:p>
        </w:tc>
        <w:tc>
          <w:tcPr>
            <w:tcW w:w="1039" w:type="dxa"/>
            <w:vAlign w:val="center"/>
          </w:tcPr>
          <w:p>
            <w:pPr>
              <w:spacing w:line="460" w:lineRule="exact"/>
              <w:jc w:val="center"/>
              <w:rPr>
                <w:rFonts w:hint="eastAsia" w:ascii="方正仿宋_GBK" w:hAnsi="方正仿宋_GBK" w:eastAsia="方正仿宋_GBK" w:cs="方正仿宋_GBK"/>
                <w:color w:val="000000" w:themeColor="text1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 w:themeColor="text1"/>
                <w:sz w:val="24"/>
                <w:szCs w:val="24"/>
              </w:rPr>
              <w:t>专技12级及以下</w:t>
            </w:r>
          </w:p>
        </w:tc>
        <w:tc>
          <w:tcPr>
            <w:tcW w:w="573" w:type="dxa"/>
            <w:vAlign w:val="center"/>
          </w:tcPr>
          <w:p>
            <w:pPr>
              <w:spacing w:line="460" w:lineRule="exact"/>
              <w:jc w:val="center"/>
              <w:rPr>
                <w:rFonts w:hint="eastAsia" w:ascii="方正仿宋_GBK" w:hAnsi="方正仿宋_GBK" w:eastAsia="方正仿宋_GBK" w:cs="方正仿宋_GBK"/>
                <w:color w:val="000000" w:themeColor="text1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399" w:type="dxa"/>
            <w:vAlign w:val="center"/>
          </w:tcPr>
          <w:p>
            <w:pPr>
              <w:spacing w:line="460" w:lineRule="exact"/>
              <w:jc w:val="center"/>
              <w:rPr>
                <w:rFonts w:hint="eastAsia" w:ascii="方正仿宋_GBK" w:hAnsi="方正仿宋_GBK" w:eastAsia="方正仿宋_GBK" w:cs="方正仿宋_GBK"/>
                <w:color w:val="000000" w:themeColor="text1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 w:themeColor="text1"/>
                <w:sz w:val="24"/>
                <w:szCs w:val="24"/>
              </w:rPr>
              <w:t>全日制普通高校研究生学历及相应学位</w:t>
            </w:r>
          </w:p>
        </w:tc>
        <w:tc>
          <w:tcPr>
            <w:tcW w:w="1323" w:type="dxa"/>
            <w:vAlign w:val="center"/>
          </w:tcPr>
          <w:p>
            <w:pPr>
              <w:spacing w:line="460" w:lineRule="exact"/>
              <w:jc w:val="center"/>
              <w:rPr>
                <w:rFonts w:hint="eastAsia" w:ascii="方正仿宋_GBK" w:hAnsi="方正仿宋_GBK" w:eastAsia="方正仿宋_GBK" w:cs="方正仿宋_GBK"/>
                <w:color w:val="000000" w:themeColor="text1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 w:themeColor="text1"/>
                <w:sz w:val="24"/>
                <w:szCs w:val="24"/>
              </w:rPr>
              <w:t>农业工程类</w:t>
            </w:r>
          </w:p>
        </w:tc>
        <w:tc>
          <w:tcPr>
            <w:tcW w:w="1009" w:type="dxa"/>
            <w:vAlign w:val="center"/>
          </w:tcPr>
          <w:p>
            <w:pPr>
              <w:spacing w:line="460" w:lineRule="exact"/>
              <w:jc w:val="center"/>
              <w:rPr>
                <w:rFonts w:hint="eastAsia" w:ascii="方正仿宋_GBK" w:hAnsi="方正仿宋_GBK" w:eastAsia="方正仿宋_GBK" w:cs="方正仿宋_GBK"/>
                <w:color w:val="000000" w:themeColor="text1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 w:themeColor="text1"/>
                <w:sz w:val="24"/>
                <w:szCs w:val="24"/>
              </w:rPr>
              <w:t>35周岁及以下</w:t>
            </w:r>
          </w:p>
        </w:tc>
        <w:tc>
          <w:tcPr>
            <w:tcW w:w="2681" w:type="dxa"/>
            <w:vAlign w:val="center"/>
          </w:tcPr>
          <w:p>
            <w:pPr>
              <w:spacing w:line="460" w:lineRule="exact"/>
              <w:jc w:val="center"/>
              <w:rPr>
                <w:rFonts w:hint="eastAsia" w:ascii="方正仿宋_GBK" w:hAnsi="方正仿宋_GBK" w:eastAsia="方正仿宋_GBK" w:cs="方正仿宋_GBK"/>
                <w:color w:val="000000" w:themeColor="text1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 w:themeColor="text1"/>
                <w:sz w:val="24"/>
                <w:szCs w:val="24"/>
              </w:rPr>
              <w:t>具有相关中级</w:t>
            </w:r>
            <w:r>
              <w:rPr>
                <w:rFonts w:hint="eastAsia" w:ascii="方正仿宋_GBK" w:hAnsi="方正仿宋_GBK" w:eastAsia="方正仿宋_GBK" w:cs="方正仿宋_GBK"/>
                <w:color w:val="000000" w:themeColor="text1"/>
                <w:sz w:val="24"/>
                <w:szCs w:val="24"/>
                <w:lang w:eastAsia="zh-CN"/>
              </w:rPr>
              <w:t>及</w:t>
            </w:r>
            <w:r>
              <w:rPr>
                <w:rFonts w:hint="eastAsia" w:ascii="方正仿宋_GBK" w:hAnsi="方正仿宋_GBK" w:eastAsia="方正仿宋_GBK" w:cs="方正仿宋_GBK"/>
                <w:color w:val="000000" w:themeColor="text1"/>
                <w:sz w:val="24"/>
                <w:szCs w:val="24"/>
              </w:rPr>
              <w:t>以上职称者，可放宽到全日制普通高校本科学历并取得相应学位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 w:hRule="atLeast"/>
          <w:jc w:val="center"/>
        </w:trPr>
        <w:tc>
          <w:tcPr>
            <w:tcW w:w="777" w:type="dxa"/>
            <w:vAlign w:val="center"/>
          </w:tcPr>
          <w:p>
            <w:pPr>
              <w:spacing w:line="460" w:lineRule="exact"/>
              <w:jc w:val="center"/>
              <w:rPr>
                <w:rFonts w:hint="eastAsia" w:ascii="方正仿宋_GBK" w:hAnsi="方正仿宋_GBK" w:eastAsia="方正仿宋_GBK" w:cs="方正仿宋_GBK"/>
                <w:color w:val="000000" w:themeColor="text1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777" w:type="dxa"/>
            <w:vMerge w:val="continue"/>
            <w:vAlign w:val="center"/>
          </w:tcPr>
          <w:p>
            <w:pPr>
              <w:spacing w:line="460" w:lineRule="exact"/>
              <w:jc w:val="center"/>
              <w:rPr>
                <w:rFonts w:hint="eastAsia" w:ascii="方正仿宋_GBK" w:hAnsi="方正仿宋_GBK" w:eastAsia="方正仿宋_GBK" w:cs="方正仿宋_GBK"/>
                <w:color w:val="000000" w:themeColor="text1"/>
                <w:sz w:val="24"/>
                <w:szCs w:val="24"/>
              </w:rPr>
            </w:pPr>
          </w:p>
        </w:tc>
        <w:tc>
          <w:tcPr>
            <w:tcW w:w="1160" w:type="dxa"/>
            <w:vAlign w:val="center"/>
          </w:tcPr>
          <w:p>
            <w:pPr>
              <w:spacing w:line="460" w:lineRule="exact"/>
              <w:jc w:val="center"/>
              <w:rPr>
                <w:rFonts w:hint="eastAsia" w:ascii="方正仿宋_GBK" w:hAnsi="方正仿宋_GBK" w:eastAsia="方正仿宋_GBK" w:cs="方正仿宋_GBK"/>
                <w:color w:val="000000" w:themeColor="text1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 w:themeColor="text1"/>
                <w:sz w:val="24"/>
                <w:szCs w:val="24"/>
              </w:rPr>
              <w:t>县农业经济作物站</w:t>
            </w:r>
          </w:p>
        </w:tc>
        <w:tc>
          <w:tcPr>
            <w:tcW w:w="1130" w:type="dxa"/>
            <w:vAlign w:val="center"/>
          </w:tcPr>
          <w:p>
            <w:pPr>
              <w:spacing w:line="460" w:lineRule="exact"/>
              <w:jc w:val="center"/>
              <w:rPr>
                <w:rFonts w:hint="eastAsia" w:ascii="方正仿宋_GBK" w:hAnsi="方正仿宋_GBK" w:eastAsia="方正仿宋_GBK" w:cs="方正仿宋_GBK"/>
                <w:color w:val="000000" w:themeColor="text1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 w:themeColor="text1"/>
                <w:sz w:val="24"/>
                <w:szCs w:val="24"/>
              </w:rPr>
              <w:t>农业经济管理</w:t>
            </w:r>
          </w:p>
        </w:tc>
        <w:tc>
          <w:tcPr>
            <w:tcW w:w="1039" w:type="dxa"/>
            <w:vAlign w:val="center"/>
          </w:tcPr>
          <w:p>
            <w:pPr>
              <w:spacing w:line="460" w:lineRule="exact"/>
              <w:jc w:val="center"/>
              <w:rPr>
                <w:rFonts w:hint="eastAsia" w:ascii="方正仿宋_GBK" w:hAnsi="方正仿宋_GBK" w:eastAsia="方正仿宋_GBK" w:cs="方正仿宋_GBK"/>
                <w:color w:val="000000" w:themeColor="text1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 w:themeColor="text1"/>
                <w:sz w:val="24"/>
                <w:szCs w:val="24"/>
              </w:rPr>
              <w:t>专技12级及以下</w:t>
            </w:r>
          </w:p>
        </w:tc>
        <w:tc>
          <w:tcPr>
            <w:tcW w:w="573" w:type="dxa"/>
            <w:vAlign w:val="center"/>
          </w:tcPr>
          <w:p>
            <w:pPr>
              <w:spacing w:line="460" w:lineRule="exact"/>
              <w:jc w:val="center"/>
              <w:rPr>
                <w:rFonts w:hint="eastAsia" w:ascii="方正仿宋_GBK" w:hAnsi="方正仿宋_GBK" w:eastAsia="方正仿宋_GBK" w:cs="方正仿宋_GBK"/>
                <w:color w:val="000000" w:themeColor="text1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399" w:type="dxa"/>
            <w:vAlign w:val="center"/>
          </w:tcPr>
          <w:p>
            <w:pPr>
              <w:spacing w:line="460" w:lineRule="exact"/>
              <w:jc w:val="center"/>
              <w:rPr>
                <w:rFonts w:hint="eastAsia" w:ascii="方正仿宋_GBK" w:hAnsi="方正仿宋_GBK" w:eastAsia="方正仿宋_GBK" w:cs="方正仿宋_GBK"/>
                <w:color w:val="000000" w:themeColor="text1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 w:themeColor="text1"/>
                <w:sz w:val="24"/>
                <w:szCs w:val="24"/>
              </w:rPr>
              <w:t>全日制普通高校研究生学历及相应学位</w:t>
            </w:r>
          </w:p>
        </w:tc>
        <w:tc>
          <w:tcPr>
            <w:tcW w:w="1323" w:type="dxa"/>
            <w:vAlign w:val="center"/>
          </w:tcPr>
          <w:p>
            <w:pPr>
              <w:spacing w:line="460" w:lineRule="exact"/>
              <w:jc w:val="center"/>
              <w:rPr>
                <w:rFonts w:hint="eastAsia" w:ascii="方正仿宋_GBK" w:hAnsi="方正仿宋_GBK" w:eastAsia="方正仿宋_GBK" w:cs="方正仿宋_GBK"/>
                <w:color w:val="000000" w:themeColor="text1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 w:themeColor="text1"/>
                <w:sz w:val="24"/>
                <w:szCs w:val="24"/>
              </w:rPr>
              <w:t>农业经济管理类</w:t>
            </w:r>
          </w:p>
        </w:tc>
        <w:tc>
          <w:tcPr>
            <w:tcW w:w="1009" w:type="dxa"/>
            <w:vAlign w:val="center"/>
          </w:tcPr>
          <w:p>
            <w:pPr>
              <w:spacing w:line="460" w:lineRule="exact"/>
              <w:jc w:val="center"/>
              <w:rPr>
                <w:rFonts w:hint="eastAsia" w:ascii="方正仿宋_GBK" w:hAnsi="方正仿宋_GBK" w:eastAsia="方正仿宋_GBK" w:cs="方正仿宋_GBK"/>
                <w:color w:val="000000" w:themeColor="text1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 w:themeColor="text1"/>
                <w:sz w:val="24"/>
                <w:szCs w:val="24"/>
              </w:rPr>
              <w:t>35周岁及以下</w:t>
            </w:r>
          </w:p>
        </w:tc>
        <w:tc>
          <w:tcPr>
            <w:tcW w:w="2681" w:type="dxa"/>
            <w:vAlign w:val="center"/>
          </w:tcPr>
          <w:p>
            <w:pPr>
              <w:spacing w:line="460" w:lineRule="exact"/>
              <w:jc w:val="center"/>
              <w:rPr>
                <w:rFonts w:hint="eastAsia" w:ascii="方正仿宋_GBK" w:hAnsi="方正仿宋_GBK" w:eastAsia="方正仿宋_GBK" w:cs="方正仿宋_GBK"/>
                <w:color w:val="000000" w:themeColor="text1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 w:themeColor="text1"/>
                <w:sz w:val="24"/>
                <w:szCs w:val="24"/>
              </w:rPr>
              <w:t>具有相关中级</w:t>
            </w:r>
            <w:r>
              <w:rPr>
                <w:rFonts w:hint="eastAsia" w:ascii="方正仿宋_GBK" w:hAnsi="方正仿宋_GBK" w:eastAsia="方正仿宋_GBK" w:cs="方正仿宋_GBK"/>
                <w:color w:val="000000" w:themeColor="text1"/>
                <w:sz w:val="24"/>
                <w:szCs w:val="24"/>
                <w:lang w:eastAsia="zh-CN"/>
              </w:rPr>
              <w:t>及</w:t>
            </w:r>
            <w:r>
              <w:rPr>
                <w:rFonts w:hint="eastAsia" w:ascii="方正仿宋_GBK" w:hAnsi="方正仿宋_GBK" w:eastAsia="方正仿宋_GBK" w:cs="方正仿宋_GBK"/>
                <w:color w:val="000000" w:themeColor="text1"/>
                <w:sz w:val="24"/>
                <w:szCs w:val="24"/>
              </w:rPr>
              <w:t>以上职称者，可放宽到全日制普通高校本科学历并取得相应学位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 w:hRule="atLeast"/>
          <w:jc w:val="center"/>
        </w:trPr>
        <w:tc>
          <w:tcPr>
            <w:tcW w:w="777" w:type="dxa"/>
            <w:vAlign w:val="center"/>
          </w:tcPr>
          <w:p>
            <w:pPr>
              <w:spacing w:line="460" w:lineRule="exact"/>
              <w:jc w:val="center"/>
              <w:rPr>
                <w:rFonts w:hint="eastAsia" w:ascii="方正仿宋_GBK" w:hAnsi="方正仿宋_GBK" w:eastAsia="方正仿宋_GBK" w:cs="方正仿宋_GBK"/>
                <w:color w:val="000000" w:themeColor="text1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777" w:type="dxa"/>
            <w:vMerge w:val="continue"/>
            <w:vAlign w:val="center"/>
          </w:tcPr>
          <w:p>
            <w:pPr>
              <w:spacing w:line="460" w:lineRule="exact"/>
              <w:jc w:val="center"/>
              <w:rPr>
                <w:rFonts w:hint="eastAsia" w:ascii="方正仿宋_GBK" w:hAnsi="方正仿宋_GBK" w:eastAsia="方正仿宋_GBK" w:cs="方正仿宋_GBK"/>
                <w:color w:val="000000" w:themeColor="text1"/>
                <w:sz w:val="24"/>
                <w:szCs w:val="24"/>
              </w:rPr>
            </w:pPr>
          </w:p>
        </w:tc>
        <w:tc>
          <w:tcPr>
            <w:tcW w:w="1160" w:type="dxa"/>
            <w:vAlign w:val="center"/>
          </w:tcPr>
          <w:p>
            <w:pPr>
              <w:spacing w:line="460" w:lineRule="exact"/>
              <w:jc w:val="center"/>
              <w:rPr>
                <w:rFonts w:hint="eastAsia" w:ascii="方正仿宋_GBK" w:hAnsi="方正仿宋_GBK" w:eastAsia="方正仿宋_GBK" w:cs="方正仿宋_GBK"/>
                <w:color w:val="000000" w:themeColor="text1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 w:themeColor="text1"/>
                <w:sz w:val="24"/>
                <w:szCs w:val="24"/>
              </w:rPr>
              <w:t>县武陵山研究院</w:t>
            </w:r>
          </w:p>
        </w:tc>
        <w:tc>
          <w:tcPr>
            <w:tcW w:w="1130" w:type="dxa"/>
            <w:vAlign w:val="center"/>
          </w:tcPr>
          <w:p>
            <w:pPr>
              <w:spacing w:line="460" w:lineRule="exact"/>
              <w:jc w:val="center"/>
              <w:rPr>
                <w:rFonts w:hint="eastAsia" w:ascii="方正仿宋_GBK" w:hAnsi="方正仿宋_GBK" w:eastAsia="方正仿宋_GBK" w:cs="方正仿宋_GBK"/>
                <w:color w:val="000000" w:themeColor="text1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 w:themeColor="text1"/>
                <w:sz w:val="24"/>
                <w:szCs w:val="24"/>
              </w:rPr>
              <w:t>育种、栽培研究</w:t>
            </w:r>
          </w:p>
        </w:tc>
        <w:tc>
          <w:tcPr>
            <w:tcW w:w="1039" w:type="dxa"/>
            <w:vAlign w:val="center"/>
          </w:tcPr>
          <w:p>
            <w:pPr>
              <w:spacing w:line="460" w:lineRule="exact"/>
              <w:jc w:val="center"/>
              <w:rPr>
                <w:rFonts w:hint="eastAsia" w:ascii="方正仿宋_GBK" w:hAnsi="方正仿宋_GBK" w:eastAsia="方正仿宋_GBK" w:cs="方正仿宋_GBK"/>
                <w:color w:val="000000" w:themeColor="text1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 w:themeColor="text1"/>
                <w:sz w:val="24"/>
                <w:szCs w:val="24"/>
              </w:rPr>
              <w:t>专技12级及以下</w:t>
            </w:r>
          </w:p>
        </w:tc>
        <w:tc>
          <w:tcPr>
            <w:tcW w:w="573" w:type="dxa"/>
            <w:vAlign w:val="center"/>
          </w:tcPr>
          <w:p>
            <w:pPr>
              <w:spacing w:line="460" w:lineRule="exact"/>
              <w:jc w:val="center"/>
              <w:rPr>
                <w:rFonts w:hint="eastAsia" w:ascii="方正仿宋_GBK" w:hAnsi="方正仿宋_GBK" w:eastAsia="方正仿宋_GBK" w:cs="方正仿宋_GBK"/>
                <w:color w:val="000000" w:themeColor="text1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399" w:type="dxa"/>
            <w:vAlign w:val="center"/>
          </w:tcPr>
          <w:p>
            <w:pPr>
              <w:spacing w:line="460" w:lineRule="exact"/>
              <w:jc w:val="center"/>
              <w:rPr>
                <w:rFonts w:hint="eastAsia" w:ascii="方正仿宋_GBK" w:hAnsi="方正仿宋_GBK" w:eastAsia="方正仿宋_GBK" w:cs="方正仿宋_GBK"/>
                <w:color w:val="000000" w:themeColor="text1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 w:themeColor="text1"/>
                <w:sz w:val="24"/>
                <w:szCs w:val="24"/>
              </w:rPr>
              <w:t>全日制普通高校研究生学历及相应学位</w:t>
            </w:r>
          </w:p>
        </w:tc>
        <w:tc>
          <w:tcPr>
            <w:tcW w:w="1323" w:type="dxa"/>
            <w:vAlign w:val="center"/>
          </w:tcPr>
          <w:p>
            <w:pPr>
              <w:spacing w:line="460" w:lineRule="exact"/>
              <w:jc w:val="center"/>
              <w:rPr>
                <w:rFonts w:hint="eastAsia" w:ascii="方正仿宋_GBK" w:hAnsi="方正仿宋_GBK" w:eastAsia="方正仿宋_GBK" w:cs="方正仿宋_GBK"/>
                <w:color w:val="000000" w:themeColor="text1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 w:themeColor="text1"/>
                <w:sz w:val="24"/>
                <w:szCs w:val="24"/>
              </w:rPr>
              <w:t>生物科学类、植物生产类、中药学类、药学类</w:t>
            </w:r>
          </w:p>
        </w:tc>
        <w:tc>
          <w:tcPr>
            <w:tcW w:w="1009" w:type="dxa"/>
            <w:vAlign w:val="center"/>
          </w:tcPr>
          <w:p>
            <w:pPr>
              <w:spacing w:line="460" w:lineRule="exact"/>
              <w:jc w:val="center"/>
              <w:rPr>
                <w:rFonts w:hint="eastAsia" w:ascii="方正仿宋_GBK" w:hAnsi="方正仿宋_GBK" w:eastAsia="方正仿宋_GBK" w:cs="方正仿宋_GBK"/>
                <w:color w:val="000000" w:themeColor="text1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 w:themeColor="text1"/>
                <w:sz w:val="24"/>
                <w:szCs w:val="24"/>
              </w:rPr>
              <w:t>35周岁及以下</w:t>
            </w:r>
          </w:p>
        </w:tc>
        <w:tc>
          <w:tcPr>
            <w:tcW w:w="2681" w:type="dxa"/>
            <w:vAlign w:val="center"/>
          </w:tcPr>
          <w:p>
            <w:pPr>
              <w:spacing w:line="460" w:lineRule="exact"/>
              <w:jc w:val="center"/>
              <w:rPr>
                <w:rFonts w:hint="eastAsia" w:ascii="方正仿宋_GBK" w:hAnsi="方正仿宋_GBK" w:eastAsia="方正仿宋_GBK" w:cs="方正仿宋_GBK"/>
                <w:color w:val="000000" w:themeColor="text1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 w:themeColor="text1"/>
                <w:sz w:val="24"/>
                <w:szCs w:val="24"/>
              </w:rPr>
              <w:t>具有相关中级</w:t>
            </w:r>
            <w:r>
              <w:rPr>
                <w:rFonts w:hint="eastAsia" w:ascii="方正仿宋_GBK" w:hAnsi="方正仿宋_GBK" w:eastAsia="方正仿宋_GBK" w:cs="方正仿宋_GBK"/>
                <w:color w:val="000000" w:themeColor="text1"/>
                <w:sz w:val="24"/>
                <w:szCs w:val="24"/>
                <w:lang w:eastAsia="zh-CN"/>
              </w:rPr>
              <w:t>及</w:t>
            </w:r>
            <w:r>
              <w:rPr>
                <w:rFonts w:hint="eastAsia" w:ascii="方正仿宋_GBK" w:hAnsi="方正仿宋_GBK" w:eastAsia="方正仿宋_GBK" w:cs="方正仿宋_GBK"/>
                <w:color w:val="000000" w:themeColor="text1"/>
                <w:sz w:val="24"/>
                <w:szCs w:val="24"/>
              </w:rPr>
              <w:t>以上职称者，可放宽到全日制普通高校本科学历并取得相应学位</w:t>
            </w:r>
          </w:p>
        </w:tc>
      </w:tr>
    </w:tbl>
    <w:p>
      <w:pPr>
        <w:spacing w:line="460" w:lineRule="exact"/>
        <w:jc w:val="center"/>
        <w:rPr>
          <w:rFonts w:hint="eastAsia" w:ascii="方正仿宋_GBK" w:hAnsi="方正仿宋_GBK" w:eastAsia="方正仿宋_GBK" w:cs="方正仿宋_GBK"/>
          <w:color w:val="000000" w:themeColor="text1"/>
          <w:sz w:val="24"/>
          <w:szCs w:val="24"/>
        </w:rPr>
      </w:pPr>
    </w:p>
    <w:p>
      <w:pPr>
        <w:rPr>
          <w:rFonts w:hint="eastAsia"/>
          <w:color w:val="000000" w:themeColor="text1"/>
        </w:rPr>
      </w:pPr>
    </w:p>
    <w:sectPr>
      <w:pgSz w:w="16838" w:h="11906" w:orient="landscape"/>
      <w:pgMar w:top="1587" w:right="2098" w:bottom="1474" w:left="1984" w:header="851" w:footer="992" w:gutter="0"/>
      <w:cols w:space="720" w:num="1"/>
      <w:docGrid w:type="lines" w:linePitch="491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moder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decorative"/>
    <w:pitch w:val="default"/>
    <w:sig w:usb0="E10002FF" w:usb1="4000ACFF" w:usb2="00000009" w:usb3="00000000" w:csb0="2000019F" w:csb1="00000000"/>
  </w:font>
  <w:font w:name="Arial">
    <w:panose1 w:val="020B0604020202020204"/>
    <w:charset w:val="01"/>
    <w:family w:val="decorative"/>
    <w:pitch w:val="default"/>
    <w:sig w:usb0="E0002AFF" w:usb1="C0007843" w:usb2="00000009" w:usb3="00000000" w:csb0="400001FF" w:csb1="FFFF0000"/>
  </w:font>
  <w:font w:name="Courier New">
    <w:panose1 w:val="02070309020205020404"/>
    <w:charset w:val="01"/>
    <w:family w:val="swiss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moder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swiss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roman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decorative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00309"/>
    <w:rsid w:val="00100309"/>
    <w:rsid w:val="006C5CED"/>
    <w:rsid w:val="00C31967"/>
    <w:rsid w:val="24EC0BCB"/>
    <w:rsid w:val="6BAC6D14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20"/>
      <w:lang w:val="en-US" w:eastAsia="zh-CN" w:bidi="ar-SA"/>
    </w:rPr>
  </w:style>
  <w:style w:type="character" w:default="1" w:styleId="4">
    <w:name w:val="Default Paragraph Font"/>
    <w:unhideWhenUsed/>
    <w:qFormat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4"/>
    <w:link w:val="3"/>
    <w:semiHidden/>
    <w:uiPriority w:val="99"/>
    <w:rPr>
      <w:sz w:val="18"/>
      <w:szCs w:val="18"/>
    </w:rPr>
  </w:style>
  <w:style w:type="character" w:customStyle="1" w:styleId="7">
    <w:name w:val="页脚 Char"/>
    <w:basedOn w:val="4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2</Pages>
  <Words>112</Words>
  <Characters>642</Characters>
  <Lines>5</Lines>
  <Paragraphs>1</Paragraphs>
  <ScaleCrop>false</ScaleCrop>
  <LinksUpToDate>false</LinksUpToDate>
  <CharactersWithSpaces>753</CharactersWithSpaces>
  <Application>WPS Office_10.8.0.5648_F1E327BC-269C-435d-A152-05C5408002CA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2018-05-10T02:35:00Z</dcterms:created>
  <dc:creator>hp2806100</dc:creator>
  <cp:lastModifiedBy>Administrator</cp:lastModifiedBy>
  <dcterms:modified xsi:type="dcterms:W3CDTF">2018-05-10T07:54:27Z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2052-10.8.0.5648</vt:lpwstr>
  </property>
</Properties>
</file>